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425d1_424b5.htm"/>
      <w:bookmarkStart w:id="1" w:name="kstm2622425d1_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333-292185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June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150,000 American depositary shares, or ADSs, each representing thirty (30) Class A ordinary shares, par value $0.0001 per share, pursuant to this prospectus supplement and the accompanying prospectus. Each ADS will be sold in this offering at a purchase price equal to $7.00.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Global Market under the symbol “YXT.” On August 5, 2026, the last reported sale price of our ADSs on the Nasdaq Global Market was US$23.43 per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the aggregate market value of our outstanding ADSs held by non-affiliates, or our public float, was approximately $19,379,327.88, based on 827,116 ADSs held by non-affiliates and a price of US$23.43 per ADS, being the last reported sale price of our ADSs on the Nasdaq Global Market on August 5, 2026, a date within 60 days prior to the date of this prospectus supplement. During the 12 calendar months prior to and including the date of this prospectus supplement (excluding this offering), we did not sell any securities pursuant to General Instruction I.B.5 of Form F-3. In no event will we sell securities pursuant to a registration statement on Form F-3 in a public primary offering with a value exceeding more than one-third of our public float in any 12-month calendar period so long as our public float remains below $75 million and General Instruction I.B.5 of Form F-3 continues to apply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We have engaged Univest Securities, LLC to act as our exclusive placement agent in connection with this offering (the “placement agent”). The placement agent has agreed to use its reasonable best efforts to arrange for the sale of the securities offered by this prospectus supplement and accompanying prospectus. The placement agent is not purchasing or selling any of the securities we are offering and is not required to arrange the purchase or sale of any specific number or dollar amount of securities. We have agreed to pay the placement agent the fees set forth in the table below, which assumes that we sell all of the securities offered by this prospectus supplement. There is no arrangement for funds to be received in escrow, trust or similar arrangement. There is no minimum offering requirement as a condition of closing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supplement.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on page S-3  of this prospectus supplement and “Item 3. Key Information—D. Risk Factors” in our </w:t>
      </w:r>
      <w:hyperlink r:id="rId2">
        <w:r>
          <w:rPr>
            <w:rStyle w:val="InternetLink"/>
            <w:rFonts w:ascii="Times New Roman;Times;Serif" w:hAnsi="Times New Roman;Times;Serif"/>
            <w:b w:val="false"/>
            <w:i w:val="false"/>
            <w:caps w:val="false"/>
            <w:smallCaps w:val="false"/>
            <w:sz w:val="20"/>
          </w:rPr>
          <w:t>annual report on Form 20-F for the fiscal year ended December 31, 2025</w:t>
        </w:r>
      </w:hyperlink>
      <w:r>
        <w:rPr>
          <w:rFonts w:ascii="Times New Roman;Times;Serif" w:hAnsi="Times New Roman;Times;Serif"/>
          <w:b w:val="false"/>
          <w:i w:val="false"/>
          <w:caps w:val="false"/>
          <w:smallCaps w:val="false"/>
          <w:sz w:val="20"/>
        </w:rPr>
        <w:t xml:space="preserve"> filed with the Securities and Exchange Commission (the “SEC”) on April 29, 2026 (the “2025 Annual Report”), which is incorporated in this prospectus supplement and the accompanying prospectus by reference. We will bear all costs associated with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on page S-12 of this prospectus supplement for more information regarding these arrangements.</w:t>
      </w:r>
    </w:p>
    <w:p>
      <w:pPr>
        <w:pStyle w:val="TextBody"/>
        <w:bidi w:val="0"/>
        <w:spacing w:before="0" w:after="0"/>
        <w:ind w:left="0" w:right="0" w:hanging="0"/>
        <w:jc w:val="both"/>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2615"/>
        <w:gridCol w:w="60"/>
        <w:gridCol w:w="163"/>
        <w:gridCol w:w="576"/>
        <w:gridCol w:w="60"/>
        <w:gridCol w:w="60"/>
        <w:gridCol w:w="125"/>
        <w:gridCol w:w="845"/>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both"/>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Per ADS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75" w:type="dxa"/>
            <w:tcBorders/>
            <w:vAlign w:val="center"/>
          </w:tcPr>
          <w:p>
            <w:pPr>
              <w:pStyle w:val="TableContents"/>
              <w:bidi w:val="0"/>
              <w:spacing w:before="0" w:after="283"/>
              <w:jc w:val="both"/>
              <w:rPr/>
            </w:pPr>
            <w:r>
              <w:rPr/>
              <w:t> </w:t>
            </w:r>
          </w:p>
        </w:tc>
      </w:tr>
      <w:tr>
        <w:trPr/>
        <w:tc>
          <w:tcPr>
            <w:tcW w:w="2615" w:type="dxa"/>
            <w:tcBorders/>
            <w:shd w:fill="CCEEFF" w:val="clear"/>
            <w:vAlign w:val="center"/>
          </w:tcPr>
          <w:p>
            <w:pPr>
              <w:pStyle w:val="TableContents"/>
              <w:bidi w:val="0"/>
              <w:spacing w:before="0" w:after="283"/>
              <w:jc w:val="both"/>
              <w:rPr>
                <w:sz w:val="20"/>
              </w:rPr>
            </w:pPr>
            <w:r>
              <w:rPr>
                <w:sz w:val="20"/>
              </w:rPr>
              <w:t>Offering price</w:t>
            </w:r>
          </w:p>
        </w:tc>
        <w:tc>
          <w:tcPr>
            <w:tcW w:w="60" w:type="dxa"/>
            <w:tcBorders/>
            <w:shd w:fill="CCEEFF" w:val="clear"/>
            <w:vAlign w:val="center"/>
          </w:tcPr>
          <w:p>
            <w:pPr>
              <w:pStyle w:val="TableContents"/>
              <w:bidi w:val="0"/>
              <w:spacing w:before="0" w:after="283"/>
              <w:jc w:val="both"/>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576" w:type="dxa"/>
            <w:tcBorders/>
            <w:shd w:fill="CCEEFF" w:val="clear"/>
            <w:vAlign w:val="center"/>
          </w:tcPr>
          <w:p>
            <w:pPr>
              <w:pStyle w:val="TableContents"/>
              <w:bidi w:val="0"/>
              <w:spacing w:before="0" w:after="283"/>
              <w:jc w:val="right"/>
              <w:rPr>
                <w:sz w:val="20"/>
              </w:rPr>
            </w:pPr>
            <w:r>
              <w:rPr>
                <w:sz w:val="20"/>
              </w:rPr>
              <w:t>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1,050,000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sz w:val="20"/>
              </w:rPr>
            </w:pPr>
            <w:r>
              <w:rPr>
                <w:sz w:val="20"/>
              </w:rPr>
              <w:t xml:space="preserve">Placement agent’s fees </w:t>
            </w:r>
            <w:r>
              <w:rPr>
                <w:position w:val="7"/>
                <w:sz w:val="16"/>
                <w:sz w:val="20"/>
              </w:rPr>
              <w:t>(1)</w:t>
            </w:r>
          </w:p>
        </w:tc>
        <w:tc>
          <w:tcPr>
            <w:tcW w:w="60" w:type="dxa"/>
            <w:tcBorders/>
            <w:shd w:fill="FFFFFF" w:val="clear"/>
            <w:vAlign w:val="center"/>
          </w:tcPr>
          <w:p>
            <w:pPr>
              <w:pStyle w:val="TableContents"/>
              <w:bidi w:val="0"/>
              <w:spacing w:before="0" w:after="283"/>
              <w:jc w:val="both"/>
              <w:rPr/>
            </w:pPr>
            <w:r>
              <w:rPr/>
              <w:t> </w:t>
            </w:r>
          </w:p>
        </w:tc>
        <w:tc>
          <w:tcPr>
            <w:tcW w:w="163" w:type="dxa"/>
            <w:tcBorders/>
            <w:shd w:fill="FFFFFF" w:val="clear"/>
            <w:vAlign w:val="center"/>
          </w:tcPr>
          <w:p>
            <w:pPr>
              <w:pStyle w:val="TableContents"/>
              <w:bidi w:val="0"/>
              <w:spacing w:before="0" w:after="283"/>
              <w:jc w:val="left"/>
              <w:rPr>
                <w:sz w:val="20"/>
              </w:rPr>
            </w:pPr>
            <w:r>
              <w:rPr>
                <w:sz w:val="20"/>
              </w:rPr>
              <w:t>$</w:t>
            </w:r>
          </w:p>
        </w:tc>
        <w:tc>
          <w:tcPr>
            <w:tcW w:w="576" w:type="dxa"/>
            <w:tcBorders/>
            <w:shd w:fill="FFFFFF" w:val="clear"/>
            <w:vAlign w:val="center"/>
          </w:tcPr>
          <w:p>
            <w:pPr>
              <w:pStyle w:val="TableContents"/>
              <w:bidi w:val="0"/>
              <w:spacing w:before="0" w:after="283"/>
              <w:jc w:val="right"/>
              <w:rPr/>
            </w:pPr>
            <w:r>
              <w:rPr/>
              <w:t> </w:t>
            </w:r>
            <w:r>
              <w:rPr>
                <w:sz w:val="20"/>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pPr>
            <w:r>
              <w:rPr/>
              <w:t> </w:t>
            </w:r>
            <w:r>
              <w:rPr>
                <w:sz w:val="20"/>
              </w:rPr>
              <w:t>73,500</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sz w:val="20"/>
              </w:rPr>
            </w:pPr>
            <w:r>
              <w:rPr>
                <w:sz w:val="20"/>
              </w:rPr>
              <w:t>Proceeds, before expenses, to us</w:t>
            </w:r>
          </w:p>
        </w:tc>
        <w:tc>
          <w:tcPr>
            <w:tcW w:w="60" w:type="dxa"/>
            <w:tcBorders/>
            <w:shd w:fill="CCEEFF" w:val="clear"/>
            <w:vAlign w:val="center"/>
          </w:tcPr>
          <w:p>
            <w:pPr>
              <w:pStyle w:val="TableContents"/>
              <w:bidi w:val="0"/>
              <w:spacing w:before="0" w:after="283"/>
              <w:jc w:val="both"/>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576" w:type="dxa"/>
            <w:tcBorders/>
            <w:shd w:fill="CCEEFF" w:val="clear"/>
            <w:vAlign w:val="center"/>
          </w:tcPr>
          <w:p>
            <w:pPr>
              <w:pStyle w:val="TableContents"/>
              <w:bidi w:val="0"/>
              <w:spacing w:before="0" w:after="283"/>
              <w:jc w:val="right"/>
              <w:rPr/>
            </w:pPr>
            <w:r>
              <w:rPr/>
              <w:t> </w:t>
            </w:r>
            <w:r>
              <w:rPr>
                <w:sz w:val="20"/>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pPr>
            <w:r>
              <w:rPr/>
              <w:t> </w:t>
            </w:r>
            <w:r>
              <w:rPr>
                <w:sz w:val="20"/>
              </w:rPr>
              <w:t>976,500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agreed to pay the placement agent a cash fee equal to 7.0% of the aggregate gross proceeds raised in this offering, except that no cash fee is payable in respect of gross proceeds raised from investors sourced directly by us that qualify as Pre-Existing Investors under the placement agency agreement. We have also agreed to reimburse the placement agent for certain of its offering-related expenses, including reimbursement for legal fees and other out-of-pocket fees, costs and expenses, in the amount of up to $100,000. See “Plan of Distribution” for additional information regarding total compensation payable to the placement agent.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purchase our securities only if you can afford a complete loss of your investment. See “Risk Factors” beginning on page S-3 of this prospectus supplement and on page 4 of the accompanying prospectus, and “Item 3. Key Information—D. Risk Factors” of our 2025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with no material operations ourselves. We conduct our operations in China through our PRC subsidiaries and a variable interest entity, Radnova Intelligence Technology Co., Ltd. (“Radnova Intelligence”), pursuant to contractual arrangements. Our PRC subsidiary Yunxuetang Information Technology (Jiangsu) Co., Ltd. serves as our wholly foreign-owned enterprise, or WFOE. Investors in our ADSs are not purchasing equity interests in our operating subsidiaries or VIE, but rather are purchasing equity interests in a Cayman Islands holding company. This structure involves unique risks to our investors. As our operations are conducted through our operating subsidiaries and VIE, we are subject to legal and operational risks associated with doing business in China, including risks relating to AI-enabled enterprise productivity solutions, regulatory approvals for offshore offerings, CSRC filings, anti-monopoly actions, cybersecurity and data privacy. These risks could result in a material adverse change in our operations and the value of our ADSs, significantly limit or completely hinder our ability to continue to offer securities to investors, or cause the value of our ADSs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CPAs LLP, the independent registered public accounting firm that audited the consolidated financial statements incorporated by reference in this prospectus supplement for fiscal years 2024 and 2025, is registered with the PCAOB and subject to PCAOB inspections. PwC Zhong Tian LLP was our prior independent registered public accounting firm for fiscal year 2023. If the PRC authorities further strengthen regulations over auditing work of Chinese companies listed on U.S. stock exchanges, or prohibit our auditor from performing work in China, the PCAOB may be unable to fully evaluate the audit or the auditor’s quality control procedures. In that event, the trading of our ADSs could be restricted or our ADSs could be delisted under the Holding Foreign Companies Accountable Act or other applicable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recent statements and regulatory actions by China’s government will have a material negative impact on our business operations in the following areas of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The Company may receive general personal information or even sensitive personal information from its clients in the Company’s day-to-day business operations, therefore, the Data Security Law and the PIP Law may accordingly apply to the Company’s business activities in China, as a consequence of which, the Company may have relevant obligations as required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 authorities may strengthen oversight over offerings conducted overseas and foreign investment in China-based issuers like us. Such actions may intervene in our operations at any time and are beyond our control. The Opinions on Strictly Cracking Down on Illegal Securities Activities and subsequent rules have increased attention on overseas offerings and listings by China-based companies. New rules or regulations may impose additional requirements on us or make it more difficult for us to complete this offering or access the U.S.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a majority of our assets are located outside of the United States. A majority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in Rule 405 under the Securities Act of 1933, as amended, and, as such, we have elected to comply with certain reduced public company reporting requirements for this prospectus and future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securities being offered pursuant to this prospectus supplement and the accompanying prospectus will be made on or about August 7, 2026,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Univest Securities,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230"/>
        <w:gridCol w:w="60"/>
        <w:gridCol w:w="455"/>
      </w:tblGrid>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30" w:type="dxa"/>
            <w:tcBorders/>
            <w:shd w:fill="CCEEFF" w:val="clear"/>
            <w:vAlign w:val="center"/>
          </w:tcPr>
          <w:p>
            <w:pPr>
              <w:pStyle w:val="TableContents"/>
              <w:bidi w:val="0"/>
              <w:spacing w:before="0" w:after="283"/>
              <w:jc w:val="left"/>
              <w:rPr/>
            </w:pPr>
            <w:hyperlink w:anchor="supp_001">
              <w:r>
                <w:rPr>
                  <w:rStyle w:val="InternetLink"/>
                  <w:rFonts w:ascii="Times New Roman;Times;Serif" w:hAnsi="Times New Roman;Times;Serif"/>
                  <w:b w:val="false"/>
                  <w:i w:val="false"/>
                  <w:caps w:val="false"/>
                  <w:smallCaps w:val="false"/>
                  <w:sz w:val="20"/>
                </w:rPr>
                <w:t>ABOUT THIS PROSPECTUS SUPPLEMENT</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supp_001">
              <w:r>
                <w:rPr>
                  <w:rStyle w:val="InternetLink"/>
                  <w:rFonts w:ascii="Times New Roman;Times;Serif" w:hAnsi="Times New Roman;Times;Serif"/>
                  <w:b w:val="false"/>
                  <w:i w:val="false"/>
                  <w:caps w:val="false"/>
                  <w:smallCaps w:val="false"/>
                  <w:sz w:val="20"/>
                </w:rPr>
                <w:t>S-ii</w:t>
              </w:r>
            </w:hyperlink>
          </w:p>
        </w:tc>
      </w:tr>
      <w:tr>
        <w:trPr/>
        <w:tc>
          <w:tcPr>
            <w:tcW w:w="6230" w:type="dxa"/>
            <w:tcBorders/>
            <w:shd w:fill="FFFFFF" w:val="clear"/>
            <w:vAlign w:val="center"/>
          </w:tcPr>
          <w:p>
            <w:pPr>
              <w:pStyle w:val="TableContents"/>
              <w:bidi w:val="0"/>
              <w:spacing w:before="0" w:after="283"/>
              <w:jc w:val="left"/>
              <w:rPr/>
            </w:pPr>
            <w:hyperlink w:anchor="supp_002">
              <w:r>
                <w:rPr>
                  <w:rStyle w:val="InternetLink"/>
                  <w:rFonts w:ascii="Times New Roman;Times;Serif" w:hAnsi="Times New Roman;Times;Serif"/>
                  <w:b w:val="false"/>
                  <w:i w:val="false"/>
                  <w:caps w:val="false"/>
                  <w:smallCaps w:val="false"/>
                  <w:sz w:val="20"/>
                </w:rPr>
                <w:t>CAUTIONARY NOTE REGARDING FORWARD LOOKING STATEMENTS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supp_002">
              <w:r>
                <w:rPr>
                  <w:rStyle w:val="InternetLink"/>
                  <w:rFonts w:ascii="Times New Roman;Times;Serif" w:hAnsi="Times New Roman;Times;Serif"/>
                  <w:b w:val="false"/>
                  <w:i w:val="false"/>
                  <w:caps w:val="false"/>
                  <w:smallCaps w:val="false"/>
                  <w:sz w:val="20"/>
                </w:rPr>
                <w:t>S-iii</w:t>
              </w:r>
            </w:hyperlink>
          </w:p>
        </w:tc>
      </w:tr>
      <w:tr>
        <w:trPr/>
        <w:tc>
          <w:tcPr>
            <w:tcW w:w="6230" w:type="dxa"/>
            <w:tcBorders/>
            <w:shd w:fill="CCEEFF" w:val="clear"/>
            <w:vAlign w:val="center"/>
          </w:tcPr>
          <w:p>
            <w:pPr>
              <w:pStyle w:val="TableContents"/>
              <w:bidi w:val="0"/>
              <w:spacing w:before="0" w:after="283"/>
              <w:jc w:val="left"/>
              <w:rPr/>
            </w:pPr>
            <w:hyperlink w:anchor="supp_003">
              <w:r>
                <w:rPr>
                  <w:rStyle w:val="InternetLink"/>
                  <w:rFonts w:ascii="Times New Roman;Times;Serif" w:hAnsi="Times New Roman;Times;Serif"/>
                  <w:b w:val="false"/>
                  <w:i w:val="false"/>
                  <w:caps w:val="false"/>
                  <w:smallCaps w:val="false"/>
                  <w:sz w:val="20"/>
                </w:rPr>
                <w:t>PROSPECTUS SUPPLEMENT SUMMARY</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supp_003">
              <w:r>
                <w:rPr>
                  <w:rStyle w:val="InternetLink"/>
                  <w:rFonts w:ascii="Times New Roman;Times;Serif" w:hAnsi="Times New Roman;Times;Serif"/>
                  <w:b w:val="false"/>
                  <w:i w:val="false"/>
                  <w:caps w:val="false"/>
                  <w:smallCaps w:val="false"/>
                  <w:sz w:val="20"/>
                </w:rPr>
                <w:t>S-1</w:t>
              </w:r>
            </w:hyperlink>
          </w:p>
        </w:tc>
      </w:tr>
      <w:tr>
        <w:trPr/>
        <w:tc>
          <w:tcPr>
            <w:tcW w:w="6230" w:type="dxa"/>
            <w:tcBorders/>
            <w:shd w:fill="FFFFFF" w:val="clear"/>
            <w:vAlign w:val="center"/>
          </w:tcPr>
          <w:p>
            <w:pPr>
              <w:pStyle w:val="TableContents"/>
              <w:bidi w:val="0"/>
              <w:spacing w:before="0" w:after="283"/>
              <w:jc w:val="left"/>
              <w:rPr/>
            </w:pPr>
            <w:hyperlink w:anchor="supp_004">
              <w:r>
                <w:rPr>
                  <w:rStyle w:val="InternetLink"/>
                  <w:rFonts w:ascii="Times New Roman;Times;Serif" w:hAnsi="Times New Roman;Times;Serif"/>
                  <w:b w:val="false"/>
                  <w:i w:val="false"/>
                  <w:caps w:val="false"/>
                  <w:smallCaps w:val="false"/>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04">
              <w:r>
                <w:rPr>
                  <w:rStyle w:val="InternetLink"/>
                  <w:sz w:val="20"/>
                </w:rPr>
                <w:t>S-2</w:t>
              </w:r>
            </w:hyperlink>
          </w:p>
        </w:tc>
      </w:tr>
      <w:tr>
        <w:trPr/>
        <w:tc>
          <w:tcPr>
            <w:tcW w:w="6230" w:type="dxa"/>
            <w:tcBorders/>
            <w:shd w:fill="CCEEFF" w:val="clear"/>
            <w:vAlign w:val="center"/>
          </w:tcPr>
          <w:p>
            <w:pPr>
              <w:pStyle w:val="TableContents"/>
              <w:bidi w:val="0"/>
              <w:spacing w:before="0" w:after="283"/>
              <w:jc w:val="left"/>
              <w:rPr/>
            </w:pPr>
            <w:hyperlink w:anchor="supp_005">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05">
              <w:r>
                <w:rPr>
                  <w:rStyle w:val="InternetLink"/>
                  <w:sz w:val="20"/>
                </w:rPr>
                <w:t>S-3</w:t>
              </w:r>
            </w:hyperlink>
          </w:p>
        </w:tc>
      </w:tr>
      <w:tr>
        <w:trPr/>
        <w:tc>
          <w:tcPr>
            <w:tcW w:w="6230" w:type="dxa"/>
            <w:tcBorders/>
            <w:shd w:fill="FFFFFF" w:val="clear"/>
            <w:vAlign w:val="center"/>
          </w:tcPr>
          <w:p>
            <w:pPr>
              <w:pStyle w:val="TableContents"/>
              <w:bidi w:val="0"/>
              <w:spacing w:before="0" w:after="283"/>
              <w:jc w:val="both"/>
              <w:rPr/>
            </w:pPr>
            <w:hyperlink w:anchor="supp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06">
              <w:r>
                <w:rPr>
                  <w:rStyle w:val="InternetLink"/>
                  <w:sz w:val="20"/>
                </w:rPr>
                <w:t>S-8</w:t>
              </w:r>
            </w:hyperlink>
          </w:p>
        </w:tc>
      </w:tr>
      <w:tr>
        <w:trPr/>
        <w:tc>
          <w:tcPr>
            <w:tcW w:w="6230" w:type="dxa"/>
            <w:tcBorders/>
            <w:shd w:fill="CCEEFF" w:val="clear"/>
            <w:vAlign w:val="center"/>
          </w:tcPr>
          <w:p>
            <w:pPr>
              <w:pStyle w:val="TableContents"/>
              <w:bidi w:val="0"/>
              <w:spacing w:before="0" w:after="283"/>
              <w:jc w:val="both"/>
              <w:rPr/>
            </w:pPr>
            <w:hyperlink w:anchor="supp_007">
              <w:r>
                <w:rPr>
                  <w:rStyle w:val="InternetLink"/>
                  <w:rFonts w:ascii="Times New Roman;Times;Serif" w:hAnsi="Times New Roman;Times;Serif"/>
                  <w:b w:val="false"/>
                  <w:i w:val="false"/>
                  <w:caps w:val="false"/>
                  <w:smallCaps w:val="false"/>
                  <w:sz w:val="20"/>
                </w:rPr>
                <w:t>CAPITALIZATION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07">
              <w:r>
                <w:rPr>
                  <w:rStyle w:val="InternetLink"/>
                  <w:sz w:val="20"/>
                </w:rPr>
                <w:t>S-9</w:t>
              </w:r>
            </w:hyperlink>
          </w:p>
        </w:tc>
      </w:tr>
      <w:tr>
        <w:trPr/>
        <w:tc>
          <w:tcPr>
            <w:tcW w:w="6230" w:type="dxa"/>
            <w:tcBorders/>
            <w:shd w:fill="FFFFFF" w:val="clear"/>
            <w:vAlign w:val="center"/>
          </w:tcPr>
          <w:p>
            <w:pPr>
              <w:pStyle w:val="TableContents"/>
              <w:bidi w:val="0"/>
              <w:spacing w:before="0" w:after="283"/>
              <w:jc w:val="both"/>
              <w:rPr/>
            </w:pPr>
            <w:hyperlink w:anchor="supp_008">
              <w:r>
                <w:rPr>
                  <w:rStyle w:val="InternetLink"/>
                  <w:rFonts w:ascii="Times New Roman;Times;Serif" w:hAnsi="Times New Roman;Times;Serif"/>
                  <w:b w:val="false"/>
                  <w:i w:val="false"/>
                  <w:caps w:val="false"/>
                  <w:smallCaps w:val="false"/>
                  <w:sz w:val="20"/>
                </w:rPr>
                <w:t>DILUTION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08">
              <w:r>
                <w:rPr>
                  <w:rStyle w:val="InternetLink"/>
                  <w:sz w:val="20"/>
                </w:rPr>
                <w:t>S-10</w:t>
              </w:r>
            </w:hyperlink>
          </w:p>
        </w:tc>
      </w:tr>
      <w:tr>
        <w:trPr/>
        <w:tc>
          <w:tcPr>
            <w:tcW w:w="6230" w:type="dxa"/>
            <w:tcBorders/>
            <w:shd w:fill="CCEEFF" w:val="clear"/>
            <w:vAlign w:val="center"/>
          </w:tcPr>
          <w:p>
            <w:pPr>
              <w:pStyle w:val="TableContents"/>
              <w:bidi w:val="0"/>
              <w:spacing w:before="0" w:after="283"/>
              <w:jc w:val="left"/>
              <w:rPr/>
            </w:pPr>
            <w:hyperlink w:anchor="supp_009">
              <w:r>
                <w:rPr>
                  <w:rStyle w:val="InternetLink"/>
                  <w:rFonts w:ascii="Times New Roman;Times;Serif" w:hAnsi="Times New Roman;Times;Serif"/>
                  <w:b w:val="false"/>
                  <w:i w:val="false"/>
                  <w:caps w:val="false"/>
                  <w:smallCaps w:val="false"/>
                  <w:sz w:val="20"/>
                </w:rPr>
                <w:t>DESCRIPTION OF THE SECURITIES WE ARE OFFERING</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09">
              <w:r>
                <w:rPr>
                  <w:rStyle w:val="InternetLink"/>
                  <w:sz w:val="20"/>
                </w:rPr>
                <w:t>S-11</w:t>
              </w:r>
            </w:hyperlink>
          </w:p>
        </w:tc>
      </w:tr>
      <w:tr>
        <w:trPr/>
        <w:tc>
          <w:tcPr>
            <w:tcW w:w="6230" w:type="dxa"/>
            <w:tcBorders/>
            <w:shd w:fill="FFFFFF" w:val="clear"/>
            <w:vAlign w:val="center"/>
          </w:tcPr>
          <w:p>
            <w:pPr>
              <w:pStyle w:val="TableContents"/>
              <w:bidi w:val="0"/>
              <w:spacing w:before="0" w:after="283"/>
              <w:jc w:val="both"/>
              <w:rPr/>
            </w:pPr>
            <w:hyperlink w:anchor="supp_010">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10">
              <w:r>
                <w:rPr>
                  <w:rStyle w:val="InternetLink"/>
                  <w:sz w:val="20"/>
                </w:rPr>
                <w:t>S-12</w:t>
              </w:r>
            </w:hyperlink>
          </w:p>
        </w:tc>
      </w:tr>
      <w:tr>
        <w:trPr/>
        <w:tc>
          <w:tcPr>
            <w:tcW w:w="6230" w:type="dxa"/>
            <w:tcBorders/>
            <w:shd w:fill="CCEEFF" w:val="clear"/>
            <w:vAlign w:val="center"/>
          </w:tcPr>
          <w:p>
            <w:pPr>
              <w:pStyle w:val="TableContents"/>
              <w:bidi w:val="0"/>
              <w:spacing w:before="0" w:after="283"/>
              <w:jc w:val="left"/>
              <w:rPr/>
            </w:pPr>
            <w:hyperlink w:anchor="supp_012">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12">
              <w:r>
                <w:rPr>
                  <w:rStyle w:val="InternetLink"/>
                  <w:sz w:val="20"/>
                </w:rPr>
                <w:t>S-24</w:t>
              </w:r>
            </w:hyperlink>
          </w:p>
        </w:tc>
      </w:tr>
      <w:tr>
        <w:trPr/>
        <w:tc>
          <w:tcPr>
            <w:tcW w:w="6230" w:type="dxa"/>
            <w:tcBorders/>
            <w:shd w:fill="FFFFFF" w:val="clear"/>
            <w:vAlign w:val="center"/>
          </w:tcPr>
          <w:p>
            <w:pPr>
              <w:pStyle w:val="TableContents"/>
              <w:bidi w:val="0"/>
              <w:spacing w:before="0" w:after="283"/>
              <w:jc w:val="both"/>
              <w:rPr/>
            </w:pPr>
            <w:hyperlink w:anchor="supp_013">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13">
              <w:r>
                <w:rPr>
                  <w:rStyle w:val="InternetLink"/>
                  <w:sz w:val="20"/>
                </w:rPr>
                <w:t>S-24</w:t>
              </w:r>
            </w:hyperlink>
          </w:p>
        </w:tc>
      </w:tr>
      <w:tr>
        <w:trPr/>
        <w:tc>
          <w:tcPr>
            <w:tcW w:w="6230" w:type="dxa"/>
            <w:tcBorders/>
            <w:shd w:fill="CCEEFF" w:val="clear"/>
            <w:vAlign w:val="center"/>
          </w:tcPr>
          <w:p>
            <w:pPr>
              <w:pStyle w:val="TableContents"/>
              <w:bidi w:val="0"/>
              <w:spacing w:before="0" w:after="283"/>
              <w:jc w:val="left"/>
              <w:rPr/>
            </w:pPr>
            <w:hyperlink w:anchor="supp_014">
              <w:r>
                <w:rPr>
                  <w:rStyle w:val="InternetLink"/>
                  <w:rFonts w:ascii="Times New Roman;Times;Serif" w:hAnsi="Times New Roman;Times;Serif"/>
                  <w:b w:val="false"/>
                  <w:i w:val="false"/>
                  <w:caps w:val="false"/>
                  <w:smallCaps w:val="false"/>
                  <w:sz w:val="20"/>
                </w:rPr>
                <w:t>INCORPORATION OF CERTAIN DOCUMENTS BY REFERENCE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14">
              <w:r>
                <w:rPr>
                  <w:rStyle w:val="InternetLink"/>
                  <w:sz w:val="20"/>
                </w:rPr>
                <w:t>S-24</w:t>
              </w:r>
            </w:hyperlink>
          </w:p>
        </w:tc>
      </w:tr>
      <w:tr>
        <w:trPr/>
        <w:tc>
          <w:tcPr>
            <w:tcW w:w="6230" w:type="dxa"/>
            <w:tcBorders/>
            <w:shd w:fill="FFFFFF" w:val="clear"/>
            <w:vAlign w:val="center"/>
          </w:tcPr>
          <w:p>
            <w:pPr>
              <w:pStyle w:val="TableContents"/>
              <w:bidi w:val="0"/>
              <w:spacing w:before="0" w:after="283"/>
              <w:jc w:val="left"/>
              <w:rPr/>
            </w:pPr>
            <w:hyperlink w:anchor="supp_015">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15">
              <w:r>
                <w:rPr>
                  <w:rStyle w:val="InternetLink"/>
                  <w:sz w:val="20"/>
                </w:rPr>
                <w:t>S-25</w:t>
              </w:r>
            </w:hyperlink>
          </w:p>
        </w:tc>
      </w:tr>
      <w:tr>
        <w:trPr/>
        <w:tc>
          <w:tcPr>
            <w:tcW w:w="6230" w:type="dxa"/>
            <w:tcBorders/>
            <w:shd w:fill="CCEEFF" w:val="clear"/>
            <w:vAlign w:val="center"/>
          </w:tcPr>
          <w:p>
            <w:pPr>
              <w:pStyle w:val="TableContents"/>
              <w:bidi w:val="0"/>
              <w:spacing w:before="0" w:after="283"/>
              <w:jc w:val="left"/>
              <w:rPr/>
            </w:pPr>
            <w:hyperlink w:anchor="supp_016">
              <w:r>
                <w:rPr>
                  <w:rStyle w:val="InternetLink"/>
                  <w:rFonts w:ascii="Times New Roman;Times;Serif" w:hAnsi="Times New Roman;Times;Serif"/>
                  <w:b w:val="false"/>
                  <w:i w:val="false"/>
                  <w:caps w:val="false"/>
                  <w:smallCaps w:val="false"/>
                  <w:sz w:val="20"/>
                </w:rPr>
                <w:t>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16">
              <w:r>
                <w:rPr>
                  <w:rStyle w:val="InternetLink"/>
                  <w:sz w:val="20"/>
                </w:rPr>
                <w:t>S-26</w:t>
              </w:r>
            </w:hyperlink>
          </w:p>
        </w:tc>
      </w:tr>
      <w:tr>
        <w:trPr/>
        <w:tc>
          <w:tcPr>
            <w:tcW w:w="6230" w:type="dxa"/>
            <w:tcBorders/>
            <w:shd w:fill="FFFFFF" w:val="clear"/>
            <w:vAlign w:val="center"/>
          </w:tcPr>
          <w:p>
            <w:pPr>
              <w:pStyle w:val="TableContents"/>
              <w:bidi w:val="0"/>
              <w:spacing w:before="0" w:after="283"/>
              <w:jc w:val="left"/>
              <w:rPr/>
            </w:pPr>
            <w:hyperlink w:anchor="supp_017">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17">
              <w:r>
                <w:rPr>
                  <w:rStyle w:val="InternetLink"/>
                  <w:sz w:val="20"/>
                </w:rPr>
                <w:t>S-26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5090"/>
        <w:gridCol w:w="60"/>
        <w:gridCol w:w="455"/>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090" w:type="dxa"/>
            <w:tcBorders/>
            <w:shd w:fill="CCEEFF" w:val="clear"/>
            <w:vAlign w:val="center"/>
          </w:tcPr>
          <w:p>
            <w:pPr>
              <w:pStyle w:val="TableContents"/>
              <w:bidi w:val="0"/>
              <w:spacing w:before="0" w:after="283"/>
              <w:jc w:val="left"/>
              <w:rPr/>
            </w:pPr>
            <w:hyperlink w:anchor="pros_018">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18">
              <w:r>
                <w:rPr>
                  <w:rStyle w:val="InternetLink"/>
                  <w:rFonts w:ascii="Times New Roman;Times;Serif" w:hAnsi="Times New Roman;Times;Serif"/>
                  <w:b w:val="false"/>
                  <w:i w:val="false"/>
                  <w:caps w:val="false"/>
                  <w:smallCaps w:val="false"/>
                  <w:sz w:val="20"/>
                </w:rPr>
                <w:t>1</w:t>
              </w:r>
            </w:hyperlink>
          </w:p>
        </w:tc>
      </w:tr>
      <w:tr>
        <w:trPr/>
        <w:tc>
          <w:tcPr>
            <w:tcW w:w="5090" w:type="dxa"/>
            <w:tcBorders/>
            <w:shd w:fill="FFFFFF" w:val="clear"/>
            <w:vAlign w:val="center"/>
          </w:tcPr>
          <w:p>
            <w:pPr>
              <w:pStyle w:val="TableContents"/>
              <w:bidi w:val="0"/>
              <w:spacing w:before="0" w:after="283"/>
              <w:jc w:val="left"/>
              <w:rPr/>
            </w:pPr>
            <w:hyperlink w:anchor="pros_019">
              <w:r>
                <w:rPr>
                  <w:rStyle w:val="InternetLink"/>
                  <w:rFonts w:ascii="Times New Roman;Times;Serif" w:hAnsi="Times New Roman;Times;Serif"/>
                  <w:b w:val="false"/>
                  <w:i w:val="false"/>
                  <w:caps w:val="false"/>
                  <w:smallCaps w:val="false"/>
                  <w:sz w:val="20"/>
                </w:rPr>
                <w:t>FORWARD-LOOKING STATEMENTS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19">
              <w:r>
                <w:rPr>
                  <w:rStyle w:val="InternetLink"/>
                  <w:rFonts w:ascii="Times New Roman;Times;Serif" w:hAnsi="Times New Roman;Times;Serif"/>
                  <w:b w:val="false"/>
                  <w:i w:val="false"/>
                  <w:caps w:val="false"/>
                  <w:smallCaps w:val="false"/>
                  <w:sz w:val="20"/>
                </w:rPr>
                <w:t>2</w:t>
              </w:r>
            </w:hyperlink>
          </w:p>
        </w:tc>
      </w:tr>
      <w:tr>
        <w:trPr/>
        <w:tc>
          <w:tcPr>
            <w:tcW w:w="5090" w:type="dxa"/>
            <w:tcBorders/>
            <w:shd w:fill="CCEEFF" w:val="clear"/>
            <w:vAlign w:val="center"/>
          </w:tcPr>
          <w:p>
            <w:pPr>
              <w:pStyle w:val="TableContents"/>
              <w:bidi w:val="0"/>
              <w:spacing w:before="0" w:after="283"/>
              <w:jc w:val="left"/>
              <w:rPr/>
            </w:pPr>
            <w:hyperlink w:anchor="pros_020">
              <w:r>
                <w:rPr>
                  <w:rStyle w:val="InternetLink"/>
                  <w:rFonts w:ascii="Times New Roman;Times;Serif" w:hAnsi="Times New Roman;Times;Serif"/>
                  <w:b w:val="false"/>
                  <w:i w:val="false"/>
                  <w:caps w:val="false"/>
                  <w:smallCaps w:val="false"/>
                  <w:sz w:val="20"/>
                </w:rPr>
                <w:t>CORPORATE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20">
              <w:r>
                <w:rPr>
                  <w:rStyle w:val="InternetLink"/>
                  <w:rFonts w:ascii="Times New Roman;Times;Serif" w:hAnsi="Times New Roman;Times;Serif"/>
                  <w:b w:val="false"/>
                  <w:i w:val="false"/>
                  <w:caps w:val="false"/>
                  <w:smallCaps w:val="false"/>
                  <w:sz w:val="20"/>
                </w:rPr>
                <w:t>3</w:t>
              </w:r>
            </w:hyperlink>
          </w:p>
        </w:tc>
      </w:tr>
      <w:tr>
        <w:trPr/>
        <w:tc>
          <w:tcPr>
            <w:tcW w:w="5090" w:type="dxa"/>
            <w:tcBorders/>
            <w:shd w:fill="FFFFFF" w:val="clear"/>
            <w:vAlign w:val="center"/>
          </w:tcPr>
          <w:p>
            <w:pPr>
              <w:pStyle w:val="TableContents"/>
              <w:bidi w:val="0"/>
              <w:spacing w:before="0" w:after="283"/>
              <w:jc w:val="left"/>
              <w:rPr/>
            </w:pPr>
            <w:hyperlink w:anchor="pros_021">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21">
              <w:r>
                <w:rPr>
                  <w:rStyle w:val="InternetLink"/>
                  <w:rFonts w:ascii="Times New Roman;Times;Serif" w:hAnsi="Times New Roman;Times;Serif"/>
                  <w:b w:val="false"/>
                  <w:i w:val="false"/>
                  <w:caps w:val="false"/>
                  <w:smallCaps w:val="false"/>
                  <w:sz w:val="20"/>
                </w:rPr>
                <w:t>4</w:t>
              </w:r>
            </w:hyperlink>
          </w:p>
        </w:tc>
      </w:tr>
      <w:tr>
        <w:trPr/>
        <w:tc>
          <w:tcPr>
            <w:tcW w:w="5090" w:type="dxa"/>
            <w:tcBorders/>
            <w:shd w:fill="CCEEFF" w:val="clear"/>
            <w:vAlign w:val="center"/>
          </w:tcPr>
          <w:p>
            <w:pPr>
              <w:pStyle w:val="TableContents"/>
              <w:bidi w:val="0"/>
              <w:spacing w:before="0" w:after="283"/>
              <w:jc w:val="both"/>
              <w:rPr/>
            </w:pPr>
            <w:hyperlink w:anchor="pros_022">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22">
              <w:r>
                <w:rPr>
                  <w:rStyle w:val="InternetLink"/>
                  <w:rFonts w:ascii="Times New Roman;Times;Serif" w:hAnsi="Times New Roman;Times;Serif"/>
                  <w:b w:val="false"/>
                  <w:i w:val="false"/>
                  <w:caps w:val="false"/>
                  <w:smallCaps w:val="false"/>
                  <w:sz w:val="20"/>
                </w:rPr>
                <w:t>5</w:t>
              </w:r>
            </w:hyperlink>
          </w:p>
        </w:tc>
      </w:tr>
      <w:tr>
        <w:trPr/>
        <w:tc>
          <w:tcPr>
            <w:tcW w:w="5090" w:type="dxa"/>
            <w:tcBorders/>
            <w:shd w:fill="FFFFFF" w:val="clear"/>
            <w:vAlign w:val="center"/>
          </w:tcPr>
          <w:p>
            <w:pPr>
              <w:pStyle w:val="TableContents"/>
              <w:bidi w:val="0"/>
              <w:spacing w:before="0" w:after="283"/>
              <w:jc w:val="both"/>
              <w:rPr/>
            </w:pPr>
            <w:hyperlink w:anchor="pros_023">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23">
              <w:r>
                <w:rPr>
                  <w:rStyle w:val="InternetLink"/>
                  <w:rFonts w:ascii="Times New Roman;Times;Serif" w:hAnsi="Times New Roman;Times;Serif"/>
                  <w:b w:val="false"/>
                  <w:i w:val="false"/>
                  <w:caps w:val="false"/>
                  <w:smallCaps w:val="false"/>
                  <w:sz w:val="20"/>
                </w:rPr>
                <w:t>6</w:t>
              </w:r>
            </w:hyperlink>
          </w:p>
        </w:tc>
      </w:tr>
      <w:tr>
        <w:trPr/>
        <w:tc>
          <w:tcPr>
            <w:tcW w:w="5090" w:type="dxa"/>
            <w:tcBorders/>
            <w:shd w:fill="CCEEFF" w:val="clear"/>
            <w:vAlign w:val="center"/>
          </w:tcPr>
          <w:p>
            <w:pPr>
              <w:pStyle w:val="TableContents"/>
              <w:bidi w:val="0"/>
              <w:spacing w:before="0" w:after="283"/>
              <w:jc w:val="both"/>
              <w:rPr/>
            </w:pPr>
            <w:hyperlink w:anchor="pros_024">
              <w:r>
                <w:rPr>
                  <w:rStyle w:val="InternetLink"/>
                  <w:rFonts w:ascii="Times New Roman;Times;Serif" w:hAnsi="Times New Roman;Times;Serif"/>
                  <w:b w:val="false"/>
                  <w:i w:val="false"/>
                  <w:caps w:val="false"/>
                  <w:smallCaps w:val="false"/>
                  <w:sz w:val="20"/>
                </w:rPr>
                <w:t>DESCRIPTION OF AMERICAN DEPOSITARY SHARES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24">
              <w:r>
                <w:rPr>
                  <w:rStyle w:val="InternetLink"/>
                  <w:rFonts w:ascii="Times New Roman;Times;Serif" w:hAnsi="Times New Roman;Times;Serif"/>
                  <w:b w:val="false"/>
                  <w:i w:val="false"/>
                  <w:caps w:val="false"/>
                  <w:smallCaps w:val="false"/>
                  <w:sz w:val="20"/>
                </w:rPr>
                <w:t>16</w:t>
              </w:r>
            </w:hyperlink>
          </w:p>
        </w:tc>
      </w:tr>
      <w:tr>
        <w:trPr/>
        <w:tc>
          <w:tcPr>
            <w:tcW w:w="5090" w:type="dxa"/>
            <w:tcBorders/>
            <w:shd w:fill="FFFFFF" w:val="clear"/>
            <w:vAlign w:val="center"/>
          </w:tcPr>
          <w:p>
            <w:pPr>
              <w:pStyle w:val="TableContents"/>
              <w:bidi w:val="0"/>
              <w:spacing w:before="0" w:after="283"/>
              <w:jc w:val="both"/>
              <w:rPr/>
            </w:pPr>
            <w:hyperlink w:anchor="pros_025">
              <w:r>
                <w:rPr>
                  <w:rStyle w:val="InternetLink"/>
                  <w:rFonts w:ascii="Times New Roman;Times;Serif" w:hAnsi="Times New Roman;Times;Serif"/>
                  <w:b w:val="false"/>
                  <w:i w:val="false"/>
                  <w:caps w:val="false"/>
                  <w:smallCaps w:val="false"/>
                  <w:sz w:val="20"/>
                </w:rPr>
                <w:t>DESCRIPTION OF PREFERRED SHARES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25">
              <w:r>
                <w:rPr>
                  <w:rStyle w:val="InternetLink"/>
                  <w:rFonts w:ascii="Times New Roman;Times;Serif" w:hAnsi="Times New Roman;Times;Serif"/>
                  <w:b w:val="false"/>
                  <w:i w:val="false"/>
                  <w:caps w:val="false"/>
                  <w:smallCaps w:val="false"/>
                  <w:sz w:val="20"/>
                </w:rPr>
                <w:t>25</w:t>
              </w:r>
            </w:hyperlink>
          </w:p>
        </w:tc>
      </w:tr>
      <w:tr>
        <w:trPr/>
        <w:tc>
          <w:tcPr>
            <w:tcW w:w="5090" w:type="dxa"/>
            <w:tcBorders/>
            <w:shd w:fill="CCEEFF" w:val="clear"/>
            <w:vAlign w:val="center"/>
          </w:tcPr>
          <w:p>
            <w:pPr>
              <w:pStyle w:val="TableContents"/>
              <w:bidi w:val="0"/>
              <w:spacing w:before="0" w:after="283"/>
              <w:jc w:val="both"/>
              <w:rPr/>
            </w:pPr>
            <w:hyperlink w:anchor="pros_026">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26">
              <w:r>
                <w:rPr>
                  <w:rStyle w:val="InternetLink"/>
                  <w:rFonts w:ascii="Times New Roman;Times;Serif" w:hAnsi="Times New Roman;Times;Serif"/>
                  <w:b w:val="false"/>
                  <w:i w:val="false"/>
                  <w:caps w:val="false"/>
                  <w:smallCaps w:val="false"/>
                  <w:sz w:val="20"/>
                </w:rPr>
                <w:t>27</w:t>
              </w:r>
            </w:hyperlink>
          </w:p>
        </w:tc>
      </w:tr>
      <w:tr>
        <w:trPr/>
        <w:tc>
          <w:tcPr>
            <w:tcW w:w="5090" w:type="dxa"/>
            <w:tcBorders/>
            <w:shd w:fill="FFFFFF" w:val="clear"/>
            <w:vAlign w:val="center"/>
          </w:tcPr>
          <w:p>
            <w:pPr>
              <w:pStyle w:val="TableContents"/>
              <w:bidi w:val="0"/>
              <w:spacing w:before="0" w:after="283"/>
              <w:jc w:val="left"/>
              <w:rPr/>
            </w:pPr>
            <w:hyperlink w:anchor="pros_027">
              <w:r>
                <w:rPr>
                  <w:rStyle w:val="InternetLink"/>
                  <w:rFonts w:ascii="Times New Roman;Times;Serif" w:hAnsi="Times New Roman;Times;Serif"/>
                  <w:b w:val="false"/>
                  <w:i w:val="false"/>
                  <w:caps w:val="false"/>
                  <w:smallCaps w:val="false"/>
                  <w:sz w:val="20"/>
                </w:rPr>
                <w:t>DESCRIPTION OF SUBSCRIPTION RIGHTS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27">
              <w:r>
                <w:rPr>
                  <w:rStyle w:val="InternetLink"/>
                  <w:rFonts w:ascii="Times New Roman;Times;Serif" w:hAnsi="Times New Roman;Times;Serif"/>
                  <w:b w:val="false"/>
                  <w:i w:val="false"/>
                  <w:caps w:val="false"/>
                  <w:smallCaps w:val="false"/>
                  <w:sz w:val="20"/>
                </w:rPr>
                <w:t>28</w:t>
              </w:r>
            </w:hyperlink>
          </w:p>
        </w:tc>
      </w:tr>
      <w:tr>
        <w:trPr/>
        <w:tc>
          <w:tcPr>
            <w:tcW w:w="5090" w:type="dxa"/>
            <w:tcBorders/>
            <w:shd w:fill="CCEEFF" w:val="clear"/>
            <w:vAlign w:val="center"/>
          </w:tcPr>
          <w:p>
            <w:pPr>
              <w:pStyle w:val="TableContents"/>
              <w:bidi w:val="0"/>
              <w:spacing w:before="0" w:after="283"/>
              <w:jc w:val="both"/>
              <w:rPr/>
            </w:pPr>
            <w:hyperlink w:anchor="pros_028">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28">
              <w:r>
                <w:rPr>
                  <w:rStyle w:val="InternetLink"/>
                  <w:rFonts w:ascii="Times New Roman;Times;Serif" w:hAnsi="Times New Roman;Times;Serif"/>
                  <w:b w:val="false"/>
                  <w:i w:val="false"/>
                  <w:caps w:val="false"/>
                  <w:smallCaps w:val="false"/>
                  <w:sz w:val="20"/>
                </w:rPr>
                <w:t>29</w:t>
              </w:r>
            </w:hyperlink>
          </w:p>
        </w:tc>
      </w:tr>
      <w:tr>
        <w:trPr/>
        <w:tc>
          <w:tcPr>
            <w:tcW w:w="5090" w:type="dxa"/>
            <w:tcBorders/>
            <w:shd w:fill="FFFFFF" w:val="clear"/>
            <w:vAlign w:val="center"/>
          </w:tcPr>
          <w:p>
            <w:pPr>
              <w:pStyle w:val="TableContents"/>
              <w:bidi w:val="0"/>
              <w:spacing w:before="0" w:after="283"/>
              <w:jc w:val="left"/>
              <w:rPr/>
            </w:pPr>
            <w:hyperlink w:anchor="pros_029">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29">
              <w:r>
                <w:rPr>
                  <w:rStyle w:val="InternetLink"/>
                  <w:rFonts w:ascii="Times New Roman;Times;Serif" w:hAnsi="Times New Roman;Times;Serif"/>
                  <w:b w:val="false"/>
                  <w:i w:val="false"/>
                  <w:caps w:val="false"/>
                  <w:smallCaps w:val="false"/>
                  <w:sz w:val="20"/>
                </w:rPr>
                <w:t>30</w:t>
              </w:r>
            </w:hyperlink>
          </w:p>
        </w:tc>
      </w:tr>
      <w:tr>
        <w:trPr/>
        <w:tc>
          <w:tcPr>
            <w:tcW w:w="5090" w:type="dxa"/>
            <w:tcBorders/>
            <w:shd w:fill="CCEEFF" w:val="clear"/>
            <w:vAlign w:val="center"/>
          </w:tcPr>
          <w:p>
            <w:pPr>
              <w:pStyle w:val="TableContents"/>
              <w:bidi w:val="0"/>
              <w:spacing w:before="0" w:after="283"/>
              <w:jc w:val="both"/>
              <w:rPr/>
            </w:pPr>
            <w:hyperlink w:anchor="pros_030">
              <w:r>
                <w:rPr>
                  <w:rStyle w:val="InternetLink"/>
                  <w:rFonts w:ascii="Times New Roman;Times;Serif" w:hAnsi="Times New Roman;Times;Serif"/>
                  <w:b w:val="false"/>
                  <w:i w:val="false"/>
                  <w:caps w:val="false"/>
                  <w:smallCaps w:val="false"/>
                  <w:sz w:val="20"/>
                </w:rPr>
                <w:t>TAXATION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30">
              <w:r>
                <w:rPr>
                  <w:rStyle w:val="InternetLink"/>
                  <w:rFonts w:ascii="Times New Roman;Times;Serif" w:hAnsi="Times New Roman;Times;Serif"/>
                  <w:b w:val="false"/>
                  <w:i w:val="false"/>
                  <w:caps w:val="false"/>
                  <w:smallCaps w:val="false"/>
                  <w:sz w:val="20"/>
                </w:rPr>
                <w:t>32</w:t>
              </w:r>
            </w:hyperlink>
          </w:p>
        </w:tc>
      </w:tr>
      <w:tr>
        <w:trPr/>
        <w:tc>
          <w:tcPr>
            <w:tcW w:w="5090" w:type="dxa"/>
            <w:tcBorders/>
            <w:shd w:fill="FFFFFF" w:val="clear"/>
            <w:vAlign w:val="center"/>
          </w:tcPr>
          <w:p>
            <w:pPr>
              <w:pStyle w:val="TableContents"/>
              <w:bidi w:val="0"/>
              <w:spacing w:before="0" w:after="283"/>
              <w:jc w:val="left"/>
              <w:rPr/>
            </w:pPr>
            <w:hyperlink w:anchor="pros_031">
              <w:r>
                <w:rPr>
                  <w:rStyle w:val="InternetLink"/>
                  <w:rFonts w:ascii="Times New Roman;Times;Serif" w:hAnsi="Times New Roman;Times;Serif"/>
                  <w:b w:val="false"/>
                  <w:i w:val="false"/>
                  <w:caps w:val="false"/>
                  <w:smallCaps w:val="false"/>
                  <w:sz w:val="20"/>
                </w:rPr>
                <w:t>SELLING SHAREHOLDERS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31">
              <w:r>
                <w:rPr>
                  <w:rStyle w:val="InternetLink"/>
                  <w:rFonts w:ascii="Times New Roman;Times;Serif" w:hAnsi="Times New Roman;Times;Serif"/>
                  <w:b w:val="false"/>
                  <w:i w:val="false"/>
                  <w:caps w:val="false"/>
                  <w:smallCaps w:val="false"/>
                  <w:sz w:val="20"/>
                </w:rPr>
                <w:t>33</w:t>
              </w:r>
            </w:hyperlink>
          </w:p>
        </w:tc>
      </w:tr>
      <w:tr>
        <w:trPr/>
        <w:tc>
          <w:tcPr>
            <w:tcW w:w="5090" w:type="dxa"/>
            <w:tcBorders/>
            <w:shd w:fill="CCEEFF" w:val="clear"/>
            <w:vAlign w:val="center"/>
          </w:tcPr>
          <w:p>
            <w:pPr>
              <w:pStyle w:val="TableContents"/>
              <w:bidi w:val="0"/>
              <w:spacing w:before="0" w:after="283"/>
              <w:jc w:val="both"/>
              <w:rPr/>
            </w:pPr>
            <w:hyperlink w:anchor="pros_032">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32">
              <w:r>
                <w:rPr>
                  <w:rStyle w:val="InternetLink"/>
                  <w:rFonts w:ascii="Times New Roman;Times;Serif" w:hAnsi="Times New Roman;Times;Serif"/>
                  <w:b w:val="false"/>
                  <w:i w:val="false"/>
                  <w:caps w:val="false"/>
                  <w:smallCaps w:val="false"/>
                  <w:sz w:val="20"/>
                </w:rPr>
                <w:t>34</w:t>
              </w:r>
            </w:hyperlink>
          </w:p>
        </w:tc>
      </w:tr>
      <w:tr>
        <w:trPr/>
        <w:tc>
          <w:tcPr>
            <w:tcW w:w="5090" w:type="dxa"/>
            <w:tcBorders/>
            <w:shd w:fill="FFFFFF" w:val="clear"/>
            <w:vAlign w:val="center"/>
          </w:tcPr>
          <w:p>
            <w:pPr>
              <w:pStyle w:val="TableContents"/>
              <w:bidi w:val="0"/>
              <w:spacing w:before="0" w:after="283"/>
              <w:jc w:val="left"/>
              <w:rPr/>
            </w:pPr>
            <w:hyperlink w:anchor="pros_033">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33">
              <w:r>
                <w:rPr>
                  <w:rStyle w:val="InternetLink"/>
                  <w:rFonts w:ascii="Times New Roman;Times;Serif" w:hAnsi="Times New Roman;Times;Serif"/>
                  <w:b w:val="false"/>
                  <w:i w:val="false"/>
                  <w:caps w:val="false"/>
                  <w:smallCaps w:val="false"/>
                  <w:sz w:val="20"/>
                </w:rPr>
                <w:t>36</w:t>
              </w:r>
            </w:hyperlink>
          </w:p>
        </w:tc>
      </w:tr>
      <w:tr>
        <w:trPr/>
        <w:tc>
          <w:tcPr>
            <w:tcW w:w="5090" w:type="dxa"/>
            <w:tcBorders/>
            <w:shd w:fill="CCEEFF" w:val="clear"/>
            <w:vAlign w:val="center"/>
          </w:tcPr>
          <w:p>
            <w:pPr>
              <w:pStyle w:val="TableContents"/>
              <w:bidi w:val="0"/>
              <w:spacing w:before="0" w:after="283"/>
              <w:jc w:val="both"/>
              <w:rPr/>
            </w:pPr>
            <w:hyperlink w:anchor="pros_034">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34">
              <w:r>
                <w:rPr>
                  <w:rStyle w:val="InternetLink"/>
                  <w:rFonts w:ascii="Times New Roman;Times;Serif" w:hAnsi="Times New Roman;Times;Serif"/>
                  <w:b w:val="false"/>
                  <w:i w:val="false"/>
                  <w:caps w:val="false"/>
                  <w:smallCaps w:val="false"/>
                  <w:sz w:val="20"/>
                </w:rPr>
                <w:t>37</w:t>
              </w:r>
            </w:hyperlink>
          </w:p>
        </w:tc>
      </w:tr>
      <w:tr>
        <w:trPr/>
        <w:tc>
          <w:tcPr>
            <w:tcW w:w="5090" w:type="dxa"/>
            <w:tcBorders/>
            <w:shd w:fill="FFFFFF" w:val="clear"/>
            <w:vAlign w:val="center"/>
          </w:tcPr>
          <w:p>
            <w:pPr>
              <w:pStyle w:val="TableContents"/>
              <w:bidi w:val="0"/>
              <w:spacing w:before="0" w:after="283"/>
              <w:jc w:val="left"/>
              <w:rPr/>
            </w:pPr>
            <w:hyperlink w:anchor="pros_035">
              <w:r>
                <w:rPr>
                  <w:rStyle w:val="InternetLink"/>
                  <w:rFonts w:ascii="Times New Roman;Times;Serif" w:hAnsi="Times New Roman;Times;Serif"/>
                  <w:b w:val="false"/>
                  <w:i w:val="false"/>
                  <w:caps w:val="false"/>
                  <w:smallCaps w:val="false"/>
                  <w:sz w:val="20"/>
                </w:rPr>
                <w:t>WHERE YOU CAN FIND MORE INFORMATION ABOUT US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35">
              <w:r>
                <w:rPr>
                  <w:rStyle w:val="InternetLink"/>
                  <w:rFonts w:ascii="Times New Roman;Times;Serif" w:hAnsi="Times New Roman;Times;Serif"/>
                  <w:b w:val="false"/>
                  <w:i w:val="false"/>
                  <w:caps w:val="false"/>
                  <w:smallCaps w:val="false"/>
                  <w:sz w:val="20"/>
                </w:rPr>
                <w:t>38</w:t>
              </w:r>
            </w:hyperlink>
          </w:p>
        </w:tc>
      </w:tr>
      <w:tr>
        <w:trPr/>
        <w:tc>
          <w:tcPr>
            <w:tcW w:w="5090" w:type="dxa"/>
            <w:tcBorders/>
            <w:shd w:fill="CCEEFF" w:val="clear"/>
            <w:vAlign w:val="center"/>
          </w:tcPr>
          <w:p>
            <w:pPr>
              <w:pStyle w:val="TableContents"/>
              <w:bidi w:val="0"/>
              <w:spacing w:before="0" w:after="283"/>
              <w:jc w:val="left"/>
              <w:rPr/>
            </w:pPr>
            <w:hyperlink w:anchor="pros_036">
              <w:r>
                <w:rPr>
                  <w:rStyle w:val="InternetLink"/>
                  <w:rFonts w:ascii="Times New Roman;Times;Serif" w:hAnsi="Times New Roman;Times;Serif"/>
                  <w:b w:val="false"/>
                  <w:i w:val="false"/>
                  <w:caps w:val="false"/>
                  <w:smallCaps w:val="false"/>
                  <w:sz w:val="20"/>
                </w:rPr>
                <w:t>INCORPORATION OF DOCUMENTS BY REFERENCE</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pros_036">
              <w:r>
                <w:rPr>
                  <w:rStyle w:val="InternetLink"/>
                  <w:rFonts w:ascii="Times New Roman;Times;Serif" w:hAnsi="Times New Roman;Times;Serif"/>
                  <w:b w:val="false"/>
                  <w:i w:val="false"/>
                  <w:caps w:val="false"/>
                  <w:smallCaps w:val="false"/>
                  <w:sz w:val="20"/>
                </w:rPr>
                <w:t>39</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supplement and the accompanying prospectus. Neither we nor the placement agent have authorized anyone else to provide you with additional or different information. We are offering to sell, and seeking offers to buy, securities only in jurisdictions where offers and sales are permitted. You should not assume that the information in this prospectus supplement or the accompanying prospectus is accurate as of any date other than the date on the front of those documents or that any document incorporated by reference is accurate as of any date other than its filing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action is being taken in any jurisdiction outside the United States to permit a public offering of the Units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and the accompanying prospectus applicable to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upp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filed with the SEC a registration statement on Form F-3 (File No. 333-292185), utilizing a shelf registration process relating to the securities described in this prospectus supplement, which registration statement was declared effective on June 29, 2026. Under this shelf registration process, we may, from time to time, in one or more offerings, offer and sell up to US$100,000,000 of our Class A ordinary shares, including Class A ordinary shares represented by ADSs, preferred shares, warrants, subscription rights and units, or any combination thereof, as described in the accompanying prospectus. We and The Bank of New York Mellon Corporation, as depositary, have also filed a registration statement on Form F-6 (File No. 333-280774) relating to the registration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securities offering and also adds to and updates information contained in the accompanying prospectus and the documents incorporated by reference into the prospectus. The second part, the accompanying prospectus, gives more general information, some of which does not apply to this offering. You should read this entire prospectus supplement as well as the accompanying prospectus and the documents incorporated by reference that are described under “Where You Can Find More Information” in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description of the offering varies between this prospectus supplement and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 this prospectus supplement and the accompanying prospectus – the statement in the document having the later date modifies or supersedes the earlier statement. Except as specifically stated, we are not incorporating by reference any information submitted under any Current Report on Form 6-K into any filing under the Securities Act of 1933, as amended (the “Securities Act”) or the Securities Exchange Act of 1934, as amended (the “Exchange Act”), into this prospectus supplement or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or deemed to be incorporated by reference, into this prospectus supplement or the accompanying prospectus will be deemed to be modified or superseded for purposes of this prospectus supplement or the accompanying prospectus to the extent that a statement contained herein, therein or in any other subsequently filed document which also is incorporated by reference in this prospectus supplement or the accompanying prospectus modifies or supersedes that statement. Any such statement so modified or superseded will not be deemed, except as so modified or superseded, to constitute a part of this prospectus supplement or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unless you are a party to such agreement. Moreover, such representations, warranties or covenants were accurate only as of the date when made or expressly referenced therein. Accordingly, such representations, warranties and covenants should not be relied on as accurately representing the current state of our affairs unless you are a party to such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have indicated otherwise, or the context otherwise requires, references in this prospectus supplement and the accompanying prospectus to “YXT,” the “Company,” “we,” “us” and “our” or similar terms refer to YXT.COM GROUP HOLDING LIMITED, a Cayman Islands holding company, and, from time to time, in the context of describing the Company’s business, operations and consolidated financial information, such terms refer to YXT.COM GROUP HOLDING LIMITED and its subsidiaries, VIE and consolidated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upp_002"/>
      <w:bookmarkEnd w:id="3"/>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including the sections entitled “Risk Factors”, contain “forward-looking statements” within the meaning of Section 21(E) of the Exchange Act, and Section 27A of the Securities Act. These forward-looking statements include, without limitation: statements regarding proposed new products or services; statements concerning projections, predictions, expectations, estimates or forecasts for our business, financial and operating results and future economic performance; statements of our management’s goals and objectives; statements concerning our competitive environment, availability of resources and regulation; trends affecting our financial condition, results of operations or future prospects; our financing plans or growth strategies and other similar expressions concerning matters that are not historical facts. Words such as “may”, “will”, “should”, “could”, “would”, “predicts”, “potential”, “continue”, “expects”, “anticipates”, “future”, “intends”, “plans”, “believes” and “estimates,” and variations of such terms or similar expressions, are intended to identify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should not be read as a guarantee of future performance or results and will not necessarily be accurate indications of the times at, or by which, that performance or those results will be achieved. Forward-looking statements are based on information available at the time they are made and/or our management’s good faith belief as of that time with respect to future events. Our actual results may differ materially from those expressed in, or implied by, the forward-looking statements due to a number of factors including, but not limited to, those set forth under the heading “Risk Factors” in this prospectus supplement and the accompanying prospectus, as well as other risks discussed in documents that we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You should review our subsequent reports filed with the SEC described in the sections of this prospectus supplement and the accompanying prospectus entitled “Where You Can Find More Information” and “Incorporation of Certain Documents by Reference,” all of which are accessible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upp_003"/>
      <w:bookmarkEnd w:id="4"/>
      <w:r>
        <w:rPr>
          <w:rFonts w:ascii="Times New Roman;Times;Serif" w:hAnsi="Times New Roman;Times;Serif"/>
          <w:b/>
          <w:i w:val="false"/>
          <w:caps w:val="false"/>
          <w:smallCaps w:val="false"/>
          <w:sz w:val="20"/>
        </w:rPr>
        <w:t>PROSPECTUS SUPPLEMENT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highlights selected information contained or incorporated by reference in this prospectus supplement. This summary does not contain all of the information you should consider before investing in the securities. Before making an investment decision, you should read the entire prospectus supplement and the accompanying prospectus and any supplement hereto, as well as the information incorporated by reference carefully, including the risk factors section, the financial statements and the notes to the financial statements incorporated herein and therein by reference, and the documents that we incorporate by reference herein and therein. See “Incorporation of Certain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in the Cayman Islands. We are a holding company with no material operations ourselves. We conduct our business in China through our PRC subsidiaries and VIEs, including Yunxuetang Information Technology (Jiangsu) Co., Ltd., our wholly foreign-owned enterprise, or WFOE, and Radnova Intelligence Technology Co., Ltd., our variable interest entity, or VIE. We provide AI-enabled enterprise productivity solutions to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AI-enabled enterprise productivity solutions are designed to help enterprises improve learning, talent development and day-to-day productivity through technology, including SaaS offerings and AI-augmented tools. Our operations are primarily conducted in China through our PRC subsidiaries and the contractual arrangements with Radnova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completed our initial public offering in August 2024, in which we offered ADSs at an initial public offering price of $11.00 per ADS, with each ADS then representing three (3) Class A ordinary shares. Effective July 14, 2026, we changed the ADS ratio so that each ADS represents thirty (30) Class A ordinary shares. The ratio change did not change the number of our outstanding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we recorded a net loss of approximately US$22.7 million. As of December 31, 2025, we had cash and cash equivalents of approximately US$16.4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Room 501-502, No. 78 East Jinshan Road, Huqiu District, Suzhou, Jiangsu, 215011, People’s Republic of China. Our telephone number at this address is +86 (512) 6689 9881. Our chief executive officer is Xiaoyan Lu and our chief financial officer is Shen Cao. Our website is https://ir.yxt.com/. The information contained on, or that can be accessed through, our website is not incorporated by reference into this prospectus supplement or the accompanying prospectus and is intended for informational purposes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ADS Ratio Change.</w:t>
      </w:r>
      <w:r>
        <w:rPr>
          <w:rFonts w:ascii="Times New Roman;Times;Serif" w:hAnsi="Times New Roman;Times;Serif"/>
          <w:b w:val="false"/>
          <w:i w:val="false"/>
          <w:caps w:val="false"/>
          <w:smallCaps w:val="false"/>
          <w:sz w:val="20"/>
        </w:rPr>
        <w:t xml:space="preserve"> On July 14, 2026, the ratio of our ADSs to our Class A ordinary shares was changed from one (1) ADS representing three (3) ordinary shares to one (1) ADS representing thirty (30) Class A ordinary shares (the “ADS Ratio Change”). No fractional new ADSs were issued; instead, fractional entitlements were aggregated and sold by The Bank of New York Mellon, the depositary bank for our ADS program. The ADS Ratio Change did not affect our Class A ordinary shares, and no Class A ordinary shares were issued or cancelled in connection with the ADS Ratio Change. Our new CUSIP number for our ADSs is 988740205.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supp_004"/>
      <w:bookmarkEnd w:id="5"/>
      <w:r>
        <w:rPr>
          <w:rFonts w:ascii="Times New Roman;Times;Serif" w:hAnsi="Times New Roman;Times;Serif"/>
          <w:b/>
          <w:i w:val="false"/>
          <w:caps w:val="false"/>
          <w:smallCaps w:val="false"/>
          <w:sz w:val="20"/>
        </w:rPr>
        <w:t>THE OFFERING</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0"/>
        <w:gridCol w:w="60"/>
        <w:gridCol w:w="8525"/>
      </w:tblGrid>
      <w:tr>
        <w:trPr/>
        <w:tc>
          <w:tcPr>
            <w:tcW w:w="1620" w:type="dxa"/>
            <w:tcBorders/>
            <w:vAlign w:val="center"/>
          </w:tcPr>
          <w:p>
            <w:pPr>
              <w:pStyle w:val="TableContents"/>
              <w:bidi w:val="0"/>
              <w:spacing w:before="0" w:after="283"/>
              <w:jc w:val="left"/>
              <w:rPr>
                <w:sz w:val="20"/>
              </w:rPr>
            </w:pPr>
            <w:r>
              <w:rPr>
                <w:sz w:val="20"/>
              </w:rPr>
              <w:t>ADSs offered by us</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sz w:val="20"/>
              </w:rPr>
            </w:pPr>
            <w:r>
              <w:rPr>
                <w:sz w:val="20"/>
              </w:rPr>
              <w:t>150,000 ADSs</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pPr>
            <w:r>
              <w:rPr/>
              <w:t> </w:t>
            </w:r>
          </w:p>
        </w:tc>
      </w:tr>
      <w:tr>
        <w:trPr/>
        <w:tc>
          <w:tcPr>
            <w:tcW w:w="1620" w:type="dxa"/>
            <w:tcBorders/>
            <w:vAlign w:val="center"/>
          </w:tcPr>
          <w:p>
            <w:pPr>
              <w:pStyle w:val="TableContents"/>
              <w:bidi w:val="0"/>
              <w:spacing w:before="0" w:after="283"/>
              <w:jc w:val="left"/>
              <w:rPr>
                <w:sz w:val="20"/>
              </w:rPr>
            </w:pPr>
            <w:r>
              <w:rPr>
                <w:sz w:val="20"/>
              </w:rPr>
              <w:t>Offering price per ADS</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sz w:val="20"/>
              </w:rPr>
            </w:pPr>
            <w:r>
              <w:rPr>
                <w:sz w:val="20"/>
              </w:rPr>
              <w:t>$7.00</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pPr>
            <w:r>
              <w:rPr/>
              <w:t> </w:t>
            </w:r>
          </w:p>
        </w:tc>
      </w:tr>
      <w:tr>
        <w:trPr/>
        <w:tc>
          <w:tcPr>
            <w:tcW w:w="1620" w:type="dxa"/>
            <w:tcBorders/>
            <w:vAlign w:val="center"/>
          </w:tcPr>
          <w:p>
            <w:pPr>
              <w:pStyle w:val="TableContents"/>
              <w:bidi w:val="0"/>
              <w:spacing w:before="0" w:after="283"/>
              <w:jc w:val="left"/>
              <w:rPr>
                <w:sz w:val="20"/>
              </w:rPr>
            </w:pPr>
            <w:r>
              <w:rPr>
                <w:sz w:val="20"/>
              </w:rPr>
              <w:t>Ordinary shares outstanding immediately before this offering</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sz w:val="20"/>
              </w:rPr>
            </w:pPr>
            <w:r>
              <w:rPr>
                <w:sz w:val="20"/>
              </w:rPr>
              <w:t>178,807,981 ordinary shares (including 161,876,157 Class A ordinary shares and 16,931,824 Class B ordinary shares; to be updated for any subsequent changes)</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pPr>
            <w:r>
              <w:rPr/>
              <w:t> </w:t>
            </w:r>
          </w:p>
        </w:tc>
      </w:tr>
      <w:tr>
        <w:trPr/>
        <w:tc>
          <w:tcPr>
            <w:tcW w:w="1620" w:type="dxa"/>
            <w:tcBorders/>
            <w:vAlign w:val="center"/>
          </w:tcPr>
          <w:p>
            <w:pPr>
              <w:pStyle w:val="TableContents"/>
              <w:bidi w:val="0"/>
              <w:spacing w:before="0" w:after="283"/>
              <w:jc w:val="left"/>
              <w:rPr>
                <w:sz w:val="20"/>
              </w:rPr>
            </w:pPr>
            <w:r>
              <w:rPr>
                <w:sz w:val="20"/>
              </w:rPr>
              <w:t>Ordinary shares outstanding immediately after this offering</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sz w:val="20"/>
              </w:rPr>
            </w:pPr>
            <w:r>
              <w:rPr>
                <w:sz w:val="20"/>
              </w:rPr>
              <w:t>183,307,981 ordinary shares (including 166,376,157 Class A ordinary shares and 16,931,824 Class B ordinary shares)</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pPr>
            <w:r>
              <w:rPr/>
              <w:t> </w:t>
            </w:r>
          </w:p>
        </w:tc>
      </w:tr>
      <w:tr>
        <w:trPr/>
        <w:tc>
          <w:tcPr>
            <w:tcW w:w="1620" w:type="dxa"/>
            <w:tcBorders/>
            <w:vAlign w:val="center"/>
          </w:tcPr>
          <w:p>
            <w:pPr>
              <w:pStyle w:val="TableContents"/>
              <w:bidi w:val="0"/>
              <w:spacing w:before="0" w:after="283"/>
              <w:jc w:val="left"/>
              <w:rPr>
                <w:sz w:val="20"/>
              </w:rPr>
            </w:pPr>
            <w:r>
              <w:rPr>
                <w:sz w:val="20"/>
              </w:rPr>
              <w:t>Use of proceeds</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sz w:val="20"/>
              </w:rPr>
            </w:pPr>
            <w:r>
              <w:rPr>
                <w:sz w:val="20"/>
              </w:rPr>
              <w:t>We estimate that the net proceeds from this offering will be approximately $600,500, after deducting fees payable to the placement agent and other estimated offering expenses payable by us. We intend to use the net proceeds of this offering for investment in research and development to enhance and expand our solution offerings, investment in technology system and infrastructure to improve our operational efficiency, marketing and brand promotions, strategic investments and acquisitions complementary to our business, and for other general corporate purposes.  See “Use of Proceeds” on page S-8 of this prospectus supplement.</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pPr>
            <w:r>
              <w:rPr/>
              <w:t> </w:t>
            </w:r>
          </w:p>
        </w:tc>
      </w:tr>
      <w:tr>
        <w:trPr/>
        <w:tc>
          <w:tcPr>
            <w:tcW w:w="1620" w:type="dxa"/>
            <w:tcBorders/>
            <w:vAlign w:val="center"/>
          </w:tcPr>
          <w:p>
            <w:pPr>
              <w:pStyle w:val="TableContents"/>
              <w:bidi w:val="0"/>
              <w:spacing w:before="0" w:after="283"/>
              <w:jc w:val="left"/>
              <w:rPr>
                <w:sz w:val="20"/>
              </w:rPr>
            </w:pPr>
            <w:r>
              <w:rPr>
                <w:sz w:val="20"/>
              </w:rPr>
              <w:t>Risk factors</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sz w:val="20"/>
              </w:rPr>
            </w:pPr>
            <w:r>
              <w:rPr>
                <w:sz w:val="20"/>
              </w:rPr>
              <w:t>An investment in our securities involves substantial risks. You should read carefully the “Risk Factors” on page S-3 of this prospectus supplement, on page 4 of the accompanying prospectus, and under similar headings in the other documents that are incorporated by reference into this prospectus supplement and the accompanying prospectus.</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pPr>
            <w:r>
              <w:rPr/>
              <w:t> </w:t>
            </w:r>
          </w:p>
        </w:tc>
      </w:tr>
      <w:tr>
        <w:trPr/>
        <w:tc>
          <w:tcPr>
            <w:tcW w:w="1620" w:type="dxa"/>
            <w:tcBorders/>
            <w:vAlign w:val="center"/>
          </w:tcPr>
          <w:p>
            <w:pPr>
              <w:pStyle w:val="TableContents"/>
              <w:bidi w:val="0"/>
              <w:spacing w:before="0" w:after="283"/>
              <w:jc w:val="left"/>
              <w:rPr>
                <w:sz w:val="20"/>
              </w:rPr>
            </w:pPr>
            <w:r>
              <w:rPr>
                <w:sz w:val="20"/>
              </w:rPr>
              <w:t>Nasdaq symbol for ADSs</w:t>
            </w:r>
          </w:p>
        </w:tc>
        <w:tc>
          <w:tcPr>
            <w:tcW w:w="60" w:type="dxa"/>
            <w:tcBorders/>
            <w:vAlign w:val="center"/>
          </w:tcPr>
          <w:p>
            <w:pPr>
              <w:pStyle w:val="TableContents"/>
              <w:bidi w:val="0"/>
              <w:spacing w:before="0" w:after="283"/>
              <w:jc w:val="both"/>
              <w:rPr/>
            </w:pPr>
            <w:r>
              <w:rPr/>
              <w:t> </w:t>
            </w:r>
          </w:p>
        </w:tc>
        <w:tc>
          <w:tcPr>
            <w:tcW w:w="8525" w:type="dxa"/>
            <w:tcBorders/>
            <w:vAlign w:val="center"/>
          </w:tcPr>
          <w:p>
            <w:pPr>
              <w:pStyle w:val="TableContents"/>
              <w:bidi w:val="0"/>
              <w:spacing w:before="0" w:after="283"/>
              <w:jc w:val="both"/>
              <w:rPr/>
            </w:pPr>
            <w:r>
              <w:rPr/>
              <w:t>“</w:t>
            </w:r>
            <w:r>
              <w:rPr>
                <w:sz w:val="20"/>
              </w:rPr>
              <w:t>YXT”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20"/>
              </w:rPr>
            </w:pPr>
            <w:r>
              <w:rPr>
                <w:sz w:val="20"/>
              </w:rPr>
              <w:t>(1)</w:t>
            </w:r>
          </w:p>
        </w:tc>
        <w:tc>
          <w:tcPr>
            <w:tcW w:w="9937" w:type="dxa"/>
            <w:tcBorders/>
            <w:vAlign w:val="center"/>
          </w:tcPr>
          <w:p>
            <w:pPr>
              <w:pStyle w:val="TableContents"/>
              <w:bidi w:val="0"/>
              <w:spacing w:before="0" w:after="283"/>
              <w:jc w:val="both"/>
              <w:rPr>
                <w:sz w:val="20"/>
              </w:rPr>
            </w:pPr>
            <w:r>
              <w:rPr>
                <w:sz w:val="20"/>
              </w:rPr>
              <w:t>The number of ordinary shares that will be outstanding immediately before this offering and to be outstanding after this offering is based on 178,807,981 ordinary shares outstanding as of August 6, 2026, comprising 161,876,157 Class A ordinary shares and 16,931,824 Class B ordinary shares, and should be updated for any issuances or other changes through the date of this offering. Assuming the sale of all 150,000 ADSs offered hereby, 183,307,981 ordinary shares, comprising 166,376,157 Class A ordinary shares and 16,931,824 Class B ordinary shares, will be outstanding immediately after this offering. It excludes 265,028 ADSs (representing 7,950,867 Class A ordinary shares) reserved for future issuance under our 2021 Share Plan as of such date.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upp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investment in our securities involves a high degree of risk. You should consider carefully the risks described below as well as the risks described in the section captioned “Risk Factors” in our 2025 Annual Report, and as updated by any document that we subsequently file with the SEC that is incorporated by reference in this prospectus supplement or the accompanying prospectus, together with other information in this prospectus supplement, the accompanying prospectus and the information and documents incorporated by reference in this prospectus supplement and the accompanying prospectus before you make a decision to invest in our securities. If any of such risks actually occur, our business, operating results, prospects or financial condition could be materially and adversely affected. This could cause the trading price of our ADSs to decline and you may lose all or part of your investment. The risks described below are not the only ones that we face. Additional risks not presently known to us or that we currently deem immaterial may also affect our business operations. The risks discussed below also include forward-looking statements and our actual results may differ substantially from those discussed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Relating to our ADSs and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ADSs is particularly volatile given our status as a relatively unknown company with a small and thinly traded public float, which could lead to wide fluctuations in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ADSs is characterized by significant price volatility when compared to the shares of larger, more established companies that have large public floats, and we expect that our share price will continue to be more volatile than the shares of such larger, more established companies for the indefinite future, although such fluctuations may not reflect a material change to our financial condition or operations during any such period. Such volatility can be attributable to a number of factors. For example, on August 5, 2026 the closing price of our ADSs rose to US$23.43 per ADS from US$3.20 per ADS on the immediately preceding trading day, an increase of approximately 632% in a single trading day, and the offering price of US$7.00 per ADS in this offering is approximately 70% below that closing price, in each case as adjusted to give retroactive effect to the change in the ratio of our ADSs to our Class A ordinary shares effective July 14, 2026. First, as noted above, our ADSs are, compared to the shares of such larger, more established companies, sporadically and thinly traded. The price for our ADSs could, for example, decline precipitously in the event that a large number of our ADSs are sold on the market without commensurate demand. Secondly, we are a speculative or “risky” investment due to our lack of profits to date. As a consequence of this enhanced risk, more risk-adverse investors may, under the fear of losing all or most of their investment in the event of negative news or lack of progress, be more inclined to sell their ADSs on the market more quickly and at greater discounts than would be the case with the stock of a larger, more established company that has a large public float. Many of these factors are beyond our control and may decrease the market price of our ADSs regardless of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being highly volatile, our ADSs could be subject to wide fluctuations in response to a number of factors that are beyond our control,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25"/>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our revenues and operating expenses;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changes in the estimates of our operating results or changes in stock market analyst recommendations regarding our common stock, other comparable companies or our industry generally;</w:t>
            </w:r>
          </w:p>
        </w:tc>
      </w:tr>
    </w:tbl>
    <w:p>
      <w:pPr>
        <w:pStyle w:val="TextBody"/>
        <w:bidi w:val="0"/>
        <w:spacing w:before="0" w:after="0"/>
        <w:ind w:left="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25"/>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conditions in our industry, the industries of our customers and the economy as a whole;</w:t>
            </w:r>
          </w:p>
        </w:tc>
      </w:tr>
    </w:tbl>
    <w:p>
      <w:pPr>
        <w:pStyle w:val="TextBody"/>
        <w:bidi w:val="0"/>
        <w:spacing w:before="0" w:after="0"/>
        <w:ind w:left="0" w:right="0" w:hanging="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12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expected changes in our growth rates or our competitors’ growth rates;</w:t>
            </w:r>
          </w:p>
        </w:tc>
      </w:tr>
    </w:tbl>
    <w:p>
      <w:pPr>
        <w:pStyle w:val="TextBody"/>
        <w:bidi w:val="0"/>
        <w:spacing w:before="0" w:after="0"/>
        <w:ind w:left="0" w:right="0" w:hanging="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2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in the financial markets and worldwide or regional economies;</w:t>
            </w:r>
          </w:p>
        </w:tc>
      </w:tr>
    </w:tbl>
    <w:p>
      <w:pPr>
        <w:pStyle w:val="TextBody"/>
        <w:bidi w:val="0"/>
        <w:spacing w:before="0" w:after="0"/>
        <w:ind w:left="0" w:right="0" w:hanging="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125"/>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innovations or new products or services by us or our competitors;</w:t>
            </w:r>
          </w:p>
        </w:tc>
      </w:tr>
    </w:tbl>
    <w:p>
      <w:pPr>
        <w:pStyle w:val="TextBody"/>
        <w:bidi w:val="0"/>
        <w:spacing w:before="0" w:after="0"/>
        <w:ind w:left="0" w:right="0" w:hanging="0"/>
        <w:jc w:val="both"/>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125"/>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the government relating to regulations that govern our industry;</w:t>
            </w:r>
          </w:p>
        </w:tc>
      </w:tr>
    </w:tbl>
    <w:p>
      <w:pPr>
        <w:pStyle w:val="TextBody"/>
        <w:bidi w:val="0"/>
        <w:spacing w:before="0" w:after="0"/>
        <w:ind w:left="0" w:right="0" w:hanging="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25"/>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005" w:type="dxa"/>
            <w:tcBorders/>
            <w:vAlign w:val="center"/>
          </w:tcPr>
          <w:p>
            <w:pPr>
              <w:pStyle w:val="TableContents"/>
              <w:bidi w:val="0"/>
              <w:spacing w:before="0" w:after="283"/>
              <w:jc w:val="both"/>
              <w:rPr/>
            </w:pPr>
            <w:r>
              <w:rPr>
                <w:rFonts w:ascii="Times New Roman;Times;Serif" w:hAnsi="Times New Roman;Times;Serif"/>
                <w:sz w:val="20"/>
              </w:rPr>
              <w:t xml:space="preserve">sales of our </w:t>
            </w:r>
            <w:r>
              <w:rPr>
                <w:rFonts w:ascii="Times New Roman;Times;Serif" w:hAnsi="Times New Roman;Times;Serif"/>
              </w:rPr>
              <w:t>ADSs or other securities by us or in the open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25"/>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market valuations of other comparable companies;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events or factors, many of which are beyond our control, including those resulting from such events, or the prospect of such events, including war, terrorism and other international conflicts, public health issues including health epidemics or pandemics, and natural disasters such as fire, hurricanes, earthquakes, tornados or other adverse weather and climate conditions, whether occurring in the United States or elsewhere, could disrupt our operations, disrupt the operations of our suppliers or result in political or economic instability.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market for stocks in the same industry or the stock market in general experiences loss of investor confidence, the trading price of our ADSs could decline for reasons unrelated to our business, financial condition or operating results. The trading price of our ADSs could also decline in reaction to events that affect other companies in our industry, even if these events do not directly affect us. Each of these factors, among others, could harm the value of our ADSs.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satisfy the continued listing requirements of Nasdaq, our ADSs could be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Global Market under the symbol “YXT” and are subject to Nasdaq’s continued listing standards, including requirements relating to minimum bid price, market value of listed securities, market value of publicly held shares, shareholders’ equity, public float, number of public holders and corporate governance. There can be no assurance that we will continue to satisfy all applicable continued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we announced that we had received a notification from Nasdaq stating that we were not in compliance with the minimum bid price requirement under Nasdaq Listing Rule 5450(a)(1) because the closing bid price of our ADSs had been below US$1.00 per ADS for 30 consecutive business days. As part of our efforts to regain compliance, we changed the ratio of our ADSs representing Class A ordinary shares from one ADS representing three Class A ordinary shares to one ADS representing 30 Class A ordinary shares, effective July 14, 2026. This ADS ratio change had the same effect on our ADS holders as a one-for-ten reverse ADS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Nasdaq notified us that the closing bid price of our ADSs had been at least US$1.00 per ADS for the ten consecutive business days from July 16, 2026 through July 29, 2026. Accordingly, we regained compliance with the minimum bid price requirement, and the matter was closed. However, the ADS ratio change did not alter the value of our underlying business, and there can be no assurance that the market price of our ADSs will remain at or above US$1.00 per ADS or that we will continue to satisfy Nasdaq’s other continued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July 22, 2026, the SEC approved a Nasdaq rule change requiring the immediate suspension and delisting of a listed company if its market value of listed securities remains below US$5 million for 30 consecutive business days, subject to limited review by a Nasdaq Hearings Panel. Under the approved rule, a timely request for a hearing would not stay the suspension of trading, and our ADSs would generally trade on the over-the-counter market during any appeal. Although the Hearings Panel may grant a limited exception period, not exceeding 180 days, to permit a company to demonstrate compliance with applicable initial listing requirements, there can be no assurance that we would qualify for, or be granted, any such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any applicable Nasdaq continued listing standard, Nasdaq may issue a deficiency notice or, where applicable, immediately suspend and delist our ADSs. If a cure period is available and we are unable to regain compliance within that period, our ADSs could also be suspended and delisted. A suspension or delisting could materially and adversely affect the liquidity, trading volume and market price of our ADSs; reduce the number of investors willing or able to hold or purchase our securities; result in our ADSs becoming subject to more limited and less liquid over-the-counter trading; limit our access to the capital markets; and impair our ability to raise additional capital on acceptable terms or at all. In addition, on July 10, 2026 we announced a change in the ratio of our ADSs to our Class A ordinary shares from one ADS representing three Class A ordinary shares to one ADS representing thirty Class A ordinary shares, which became effective on July 14, 2026. Under Nasdaq Listing Rule 5810(c)(3)(A)(iv), a company that fails to meet the minimum bid price requirement and has effected a reverse stock split during the prior one-year period is not eligible for any compliance period, and Nasdaq will instead issue a delisting determination. If Nasdaq treats the ADS ratio change as a reverse stock split for this purpose, and if the closing bid price of our ADSs again falls below US$1.00 per ADS for 30 consecutive business days before July 14, 2027, we would not be entitled to a compliance period and our ADSs could be suspended and delisted without an opportunity to cure. The offering price of the ADSs in this offering may be below the recent trading price of our ADSs and may contribute to a decline in the trading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that our ADSs are delisted from Nasdaq, U.S. broker-dealers may be discouraged from effecting transactions in our ADSs because they may be considered penny stocks and thus be subject to the penny stock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a number of rules to regulate “penny stock” that restrict transactions involving stock deemed to be penny stock. Such rules include Rules 3a51-1, 15g-1, 15g-2, 15g-3, 15g-4, 15g-5, 15g-6, 15g-7 and 15g-9 under the Exchange Act. These rules may have the effect of reducing the liquidity of penny stocks. “Penny stocks” generally are equity securities with a price of less than $5.00 per share, other than securities registered on certain national securities exchanges or quoted on Nasdaq if current price and volume information is provided by the exchange or system. Our ADSs have in the past constituted, and may again in the future constitute, “penny stock” within the meaning of the rules. The additional sales practice and disclosure requirements imposed upon U.S. broker-dealers for sales of penny stocks may discourage transactions in our ADSs, which could severely limit their market liquidity and impede their sale in the secondary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broker-dealer selling penny stock to anyone other than an established customer or “accredited investor” (generally, an individual with a net worth in excess of $1,000,000 or an annual income exceeding $200,000, or $300,000 together with his or her spouse) must make a special suitability determination for the purchaser and must receive the purchaser’s written consent to the transaction prior to sale, unless the broker-dealer or the transaction is otherwise exempt. 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the “penny stock” held in a customer’s account and information with respect to the limited market in “penny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be aware that, according to the SEC, the market for “penny stocks” has suffered in recent years from patterns of fraud and abuse. Such patterns include (i) control of the market for the security by one or a few broker-dealers that are often related to the promoter or issuer; (ii) manipulation of prices through prearranged matching of purchases and sales and false and misleading press releases; (iii) “boiler room” practices involving high-pressure sales tactics and unrealistic price projections by inexperienced sales persons; (iv) excessive and undisclosed bid-ask differentials and markups by selling broker-dealers; and (v) the wholesale dumping of the same securities by promoters and broker-dealers after prices have been manipulated to a desired level, resulting in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our management will have broad discretion in how we use the proceeds from this Offering, we may use the proceeds in ways with which you disagree.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significant flexibility in applying the net proceeds of this offering. You will be relying on the judgment of our management with regard to the use of these net proceeds, and you will not have the opportunity, as part of your investment decision, to influence how the proceeds are being used.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is a best-efforts offering, no minimum amount of securities is required to be sold, and we may not raise the amount of capital we believe is required for our business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placement agent has agreed to use their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herein.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Thus, we may not raise the amount of capital we believe is required for our operations and may need to raise additional funds. Such additional fundraises may not be available or available on terms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in this offering may experience immediate dilution in the book value per ADS purchased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per ADS in this offering may be substantially higher than the net tangible book value per ADS of our currently outstanding ADSs. After giving effect to the sale of 150,000 ADSs at an offering price of $7 per ADS, and after deducting estimated commissions and estimated offering expenses, our pro forma as-adjusted net tangible book deficit as of December 31, 2025 would have been approximately $12.6 million, or approximately $2.07 per ADS. While this represents an immediate increase in net tangible book value, future sales of ADSs in this offering may represent an immediate increase in net tangible book value to our existing shareholders and an immediate dilution to new investors, depending on the market value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 small company, the requirements of being a public company, including compliance with the reporting requirements of the Exchange Act, and the requirements of the Sarbanes-Oxley Act and the Dodd-Frank Act, may strain our resources, increase our costs and distract management, and we may be unable to comply with these requirements in a timely or cost-effective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with listed equity securities, we must comply with the federal securities laws, rules and regulations, including certain corporate governance provisions of the Sarbanes-Oxley Act of 2002 (the “Sarbanes-Oxley Act”) and the Dodd-Frank Act, related rules and regulations of the SEC and Nasdaq, with which a private company is not required to comply. Complying with these laws, rules and regulations occupies a significant amount of the time of our Board of Directors and management and significantly increases our costs and expenses. Among other things, we must: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 system of internal control over financial reporting in compliance with the requirements of Section 404 of the Sarbanes-Oxley Act and the related rules and regulations of the SEC and the Public Company Accounting Oversight Board;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rules and regulations promulgated by Nasdaq;</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prepare and distribute periodic public reports in compliance with our obligations under the federal securities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various internal compliance and disclosures policies, such as those relating to disclosure controls and procedures and insider trading in our ADSs;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involve and retain to a greater degree outside counsel and accountants in the above activities;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 comprehensive internal audit function; and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an investor relations function.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ADSs, whether by us or our shareholders, could cause our share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existing shareholders sell, or indicate an intent to sell, substantial amounts of our ADSs in the public market, the trading price of our ADSs could decline significantly. Similarly, the perception in the public market that our shareholders might sell our ADSs could also depress the market price of our ADSs. A decline in the price of our ADSs might impede our ability to raise capital through the issuance of additional ADSs or other equity securities. In addition, the issuance and sale by us of additional ADSs or securities convertible into or exercisable for ADSs, or the perception that we will issue such securities, could reduce the trading price for our ADSs as well as make future sales of equity securities by us less attractive or not feasible. The sale of ADSs issued upon the exercise of our outstanding options and warrants could further dilute the holdings of our then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analysts may not cover our ADSs and this may have a negative impact on the market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ADSs will depend, in part, on the research and reports that securities or industry analysts publish about us or our business. We do not have any control over independent analysts (provided that we have engaged various non-independent analysts). We do not currently have and may never obtain research coverage by independent securities and industry analysts. If no independent securities or industry analysts commence coverage of us, the trading price for our ADSs would be negatively impacted. If we obtain independent securities or industry analyst coverage and if one or more of the analysts who covers us downgrades our ADSs, changes their opinion of our shares or publishes inaccurate or unfavorable research about our business, our share price would likely decline. If one or more of these analysts ceases coverage of us or fails to publish reports on us regularly, demand for our ADSs could decrease and we could lose visibility in the financial markets, which could cause our share price and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or other equity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issue additional ADSs or other securities convertible into or exchangeable for ADSs. We cannot assure you that we will be able to sell ADSs or other securities in any other offering or transaction at a price per ADS that is equal to or greater than the price per ADS paid by investors in this offering. The price per ADS at which we sell additional ADSs or other securities convertible into or exchangeable for ADSs in future transactions may be higher or lower than the price per ADS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Techniques employed by short sellers may drive down the market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may in the future be, the subject of unfavorable allegations made by short sellers. Any such allegations may be followed by periods of instability in the market price of our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ADSs could be greatly reduced or rendered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upp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will be approximately $600,500, after deducting the placement agent fees, and the estimated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investment in research and development to enhance and expand our solution offerings, investment in technology system and infrastructure to improve our operational efficiency, marketing and brand promotions, strategic investments and acquisitions complementary to our business, and for other general corporate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use of proceeds will vary depending on a number of factors, including the amount of cash generated or used by our operations, and the rate of growth, if any, of our business. As a result, we will retain broad discretion in the allocation of the net proceeds of this offering. In addition, while we have not entered into any agreements, commitments or understandings relating to any significant transaction as of the date of this prospectus supplement, we may use a portion of the net proceeds to pursue acquisitions, joint ventures and other strategic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upp_007"/>
      <w:bookmarkEnd w:id="8"/>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 actual basis as of December 31, 2025; and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on an as adjusted basis to give effect to the issuance and sale of 150,000 ADSs for aggregate net proceeds of approximately $600,500, after deducting the placement agent fees and estimated offering expenses payable by us.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table below is illustrative only. You should read the table below in conjunction with the section entitled “Use of Proceeds” above and our consolidated financial statements and related notes appearing in our 2025 Annual Report, incorporated by reference in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2"/>
        <w:gridCol w:w="60"/>
        <w:gridCol w:w="69"/>
        <w:gridCol w:w="876"/>
        <w:gridCol w:w="80"/>
        <w:gridCol w:w="60"/>
        <w:gridCol w:w="71"/>
        <w:gridCol w:w="910"/>
        <w:gridCol w:w="97"/>
      </w:tblGrid>
      <w:tr>
        <w:trPr/>
        <w:tc>
          <w:tcPr>
            <w:tcW w:w="7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US$</w:t>
            </w:r>
          </w:p>
        </w:tc>
        <w:tc>
          <w:tcPr>
            <w:tcW w:w="97" w:type="dxa"/>
            <w:tcBorders/>
            <w:vAlign w:val="center"/>
          </w:tcPr>
          <w:p>
            <w:pPr>
              <w:pStyle w:val="TableContents"/>
              <w:bidi w:val="0"/>
              <w:spacing w:before="0" w:after="283"/>
              <w:jc w:val="left"/>
              <w:rPr/>
            </w:pPr>
            <w:r>
              <w:rPr/>
              <w:t> </w:t>
            </w:r>
          </w:p>
        </w:tc>
      </w:tr>
      <w:tr>
        <w:trPr/>
        <w:tc>
          <w:tcPr>
            <w:tcW w:w="7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 thousands</w:t>
            </w:r>
          </w:p>
        </w:tc>
        <w:tc>
          <w:tcPr>
            <w:tcW w:w="97" w:type="dxa"/>
            <w:tcBorders/>
            <w:vAlign w:val="center"/>
          </w:tcPr>
          <w:p>
            <w:pPr>
              <w:pStyle w:val="TableContents"/>
              <w:bidi w:val="0"/>
              <w:spacing w:before="0" w:after="283"/>
              <w:jc w:val="left"/>
              <w:rPr/>
            </w:pPr>
            <w:r>
              <w:rPr/>
              <w:t> </w:t>
            </w:r>
          </w:p>
        </w:tc>
      </w:tr>
      <w:tr>
        <w:trPr/>
        <w:tc>
          <w:tcPr>
            <w:tcW w:w="7982" w:type="dxa"/>
            <w:tcBorders/>
            <w:shd w:fill="CCEEFF" w:val="clear"/>
            <w:vAlign w:val="center"/>
          </w:tcPr>
          <w:p>
            <w:pPr>
              <w:pStyle w:val="TableContents"/>
              <w:bidi w:val="0"/>
              <w:spacing w:before="0" w:after="283"/>
              <w:jc w:val="left"/>
              <w:rPr>
                <w:sz w:val="20"/>
              </w:rPr>
            </w:pPr>
            <w:r>
              <w:rPr>
                <w:sz w:val="20"/>
              </w:rPr>
              <w:t>Short-term borrowings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sz w:val="20"/>
              </w:rPr>
            </w:pPr>
            <w:r>
              <w:rPr>
                <w:sz w:val="20"/>
              </w:rPr>
              <w:t>19,948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sz w:val="20"/>
              </w:rPr>
            </w:pPr>
            <w:r>
              <w:rPr>
                <w:sz w:val="20"/>
              </w:rPr>
              <w:t>19,948</w:t>
            </w:r>
          </w:p>
        </w:tc>
        <w:tc>
          <w:tcPr>
            <w:tcW w:w="97" w:type="dxa"/>
            <w:tcBorders/>
            <w:shd w:fill="CCEEFF" w:val="cle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283"/>
              <w:jc w:val="left"/>
              <w:rPr>
                <w:sz w:val="20"/>
              </w:rPr>
            </w:pPr>
            <w:r>
              <w:rPr>
                <w:sz w:val="20"/>
              </w:rPr>
              <w:t>Long-term borrowings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sz w:val="20"/>
              </w:rPr>
            </w:pPr>
            <w:r>
              <w:rPr>
                <w:sz w:val="20"/>
              </w:rPr>
              <w:t>1,144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sz w:val="20"/>
              </w:rPr>
            </w:pPr>
            <w:r>
              <w:rPr>
                <w:sz w:val="20"/>
              </w:rPr>
              <w:t>1,144</w:t>
            </w:r>
          </w:p>
        </w:tc>
        <w:tc>
          <w:tcPr>
            <w:tcW w:w="97" w:type="dxa"/>
            <w:tcBorders/>
            <w:shd w:fill="FFFFFF" w:val="clear"/>
            <w:vAlign w:val="center"/>
          </w:tcPr>
          <w:p>
            <w:pPr>
              <w:pStyle w:val="TableContents"/>
              <w:bidi w:val="0"/>
              <w:spacing w:before="0" w:after="283"/>
              <w:jc w:val="left"/>
              <w:rPr/>
            </w:pPr>
            <w:r>
              <w:rPr/>
              <w:t> </w:t>
            </w:r>
          </w:p>
        </w:tc>
      </w:tr>
      <w:tr>
        <w:trPr/>
        <w:tc>
          <w:tcPr>
            <w:tcW w:w="7982" w:type="dxa"/>
            <w:tcBorders/>
            <w:shd w:fill="CCEEFF" w:val="clear"/>
            <w:vAlign w:val="center"/>
          </w:tcPr>
          <w:p>
            <w:pPr>
              <w:pStyle w:val="TableContents"/>
              <w:bidi w:val="0"/>
              <w:spacing w:before="0" w:after="283"/>
              <w:jc w:val="left"/>
              <w:rPr>
                <w:sz w:val="20"/>
              </w:rPr>
            </w:pPr>
            <w:r>
              <w:rPr>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283"/>
              <w:jc w:val="left"/>
              <w:rPr>
                <w:sz w:val="20"/>
              </w:rPr>
            </w:pPr>
            <w:r>
              <w:rPr>
                <w:sz w:val="20"/>
              </w:rPr>
              <w:t>Class A Ordinary Shares, $0.0001 par value; 483,068,176 authorized, 171,596,634 issued and 161,876,157 outstanding as of December 31, 2025, actual; 176,096,634 issued and 166,376,157 outstanding  as adjusted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sz w:val="20"/>
              </w:rPr>
            </w:pPr>
            <w:r>
              <w:rPr>
                <w:sz w:val="20"/>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sz w:val="20"/>
              </w:rPr>
            </w:pPr>
            <w:r>
              <w:rPr>
                <w:sz w:val="20"/>
              </w:rPr>
              <w:t>17</w:t>
            </w:r>
          </w:p>
        </w:tc>
        <w:tc>
          <w:tcPr>
            <w:tcW w:w="97" w:type="dxa"/>
            <w:tcBorders/>
            <w:shd w:fill="FFFFFF" w:val="clear"/>
            <w:vAlign w:val="center"/>
          </w:tcPr>
          <w:p>
            <w:pPr>
              <w:pStyle w:val="TableContents"/>
              <w:bidi w:val="0"/>
              <w:spacing w:before="0" w:after="283"/>
              <w:jc w:val="left"/>
              <w:rPr/>
            </w:pPr>
            <w:r>
              <w:rPr/>
              <w:t> </w:t>
            </w:r>
          </w:p>
        </w:tc>
      </w:tr>
      <w:tr>
        <w:trPr/>
        <w:tc>
          <w:tcPr>
            <w:tcW w:w="7982" w:type="dxa"/>
            <w:tcBorders/>
            <w:shd w:fill="CCEEFF" w:val="clear"/>
            <w:vAlign w:val="center"/>
          </w:tcPr>
          <w:p>
            <w:pPr>
              <w:pStyle w:val="TableContents"/>
              <w:bidi w:val="0"/>
              <w:spacing w:before="0" w:after="283"/>
              <w:jc w:val="left"/>
              <w:rPr>
                <w:sz w:val="20"/>
              </w:rPr>
            </w:pPr>
            <w:r>
              <w:rPr>
                <w:sz w:val="20"/>
              </w:rPr>
              <w:t>Class B Ordinary Shares, $0.0001 par value; 16,931,824 authorized; 16,931,824 issued and outstanding as of December 31, 2025, actual and as adjusted</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sz w:val="20"/>
              </w:rPr>
            </w:pPr>
            <w:r>
              <w:rPr>
                <w:sz w:val="20"/>
              </w:rPr>
              <w:t>2</w:t>
            </w:r>
          </w:p>
        </w:tc>
        <w:tc>
          <w:tcPr>
            <w:tcW w:w="97" w:type="dxa"/>
            <w:tcBorders/>
            <w:shd w:fill="CCEEFF" w:val="cle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283"/>
              <w:jc w:val="left"/>
              <w:rPr>
                <w:sz w:val="20"/>
              </w:rPr>
            </w:pPr>
            <w:r>
              <w:rPr>
                <w:sz w:val="20"/>
              </w:rPr>
              <w:t>Treasury stock, nil and 1,769,610 shares as of December 31, 2025, actual and as adjusted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sz w:val="20"/>
              </w:rPr>
            </w:pPr>
            <w:r>
              <w:rPr>
                <w:sz w:val="20"/>
              </w:rPr>
              <w:t>(500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sz w:val="20"/>
              </w:rPr>
            </w:pPr>
            <w:r>
              <w:rPr>
                <w:sz w:val="20"/>
              </w:rPr>
              <w:t>(500</w:t>
            </w:r>
          </w:p>
        </w:tc>
        <w:tc>
          <w:tcPr>
            <w:tcW w:w="97" w:type="dxa"/>
            <w:tcBorders/>
            <w:shd w:fill="FFFFFF" w:val="clear"/>
            <w:vAlign w:val="center"/>
          </w:tcPr>
          <w:p>
            <w:pPr>
              <w:pStyle w:val="TableContents"/>
              <w:bidi w:val="0"/>
              <w:spacing w:before="0" w:after="283"/>
              <w:jc w:val="left"/>
              <w:rPr>
                <w:sz w:val="20"/>
              </w:rPr>
            </w:pPr>
            <w:r>
              <w:rPr>
                <w:sz w:val="20"/>
              </w:rPr>
              <w:t>)</w:t>
            </w:r>
          </w:p>
        </w:tc>
      </w:tr>
      <w:tr>
        <w:trPr/>
        <w:tc>
          <w:tcPr>
            <w:tcW w:w="7982" w:type="dxa"/>
            <w:tcBorders/>
            <w:shd w:fill="CCEEFF" w:val="clear"/>
            <w:vAlign w:val="center"/>
          </w:tcPr>
          <w:p>
            <w:pPr>
              <w:pStyle w:val="TableContents"/>
              <w:bidi w:val="0"/>
              <w:spacing w:before="0" w:after="283"/>
              <w:jc w:val="left"/>
              <w:rPr>
                <w:sz w:val="20"/>
              </w:rPr>
            </w:pPr>
            <w:r>
              <w:rPr>
                <w:sz w:val="20"/>
              </w:rPr>
              <w:t>Additional paid in capital</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sz w:val="20"/>
              </w:rPr>
            </w:pPr>
            <w:r>
              <w:rPr>
                <w:sz w:val="20"/>
              </w:rPr>
              <w:t>500,759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sz w:val="20"/>
              </w:rPr>
            </w:pPr>
            <w:r>
              <w:rPr>
                <w:sz w:val="20"/>
              </w:rPr>
              <w:t>501,359</w:t>
            </w:r>
          </w:p>
        </w:tc>
        <w:tc>
          <w:tcPr>
            <w:tcW w:w="97" w:type="dxa"/>
            <w:tcBorders/>
            <w:shd w:fill="CCEEFF" w:val="cle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sz w:val="20"/>
              </w:rPr>
            </w:pPr>
            <w:r>
              <w:rPr>
                <w:sz w:val="20"/>
              </w:rPr>
              <w:t>(492,840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sz w:val="20"/>
              </w:rPr>
            </w:pPr>
            <w:r>
              <w:rPr>
                <w:sz w:val="20"/>
              </w:rPr>
              <w:t>(492,840</w:t>
            </w:r>
          </w:p>
        </w:tc>
        <w:tc>
          <w:tcPr>
            <w:tcW w:w="97" w:type="dxa"/>
            <w:tcBorders/>
            <w:shd w:fill="FFFFFF" w:val="clear"/>
            <w:vAlign w:val="center"/>
          </w:tcPr>
          <w:p>
            <w:pPr>
              <w:pStyle w:val="TableContents"/>
              <w:bidi w:val="0"/>
              <w:spacing w:before="0" w:after="283"/>
              <w:jc w:val="left"/>
              <w:rPr>
                <w:sz w:val="20"/>
              </w:rPr>
            </w:pPr>
            <w:r>
              <w:rPr>
                <w:sz w:val="20"/>
              </w:rPr>
              <w:t>)</w:t>
            </w:r>
          </w:p>
        </w:tc>
      </w:tr>
      <w:tr>
        <w:trPr/>
        <w:tc>
          <w:tcPr>
            <w:tcW w:w="7982" w:type="dxa"/>
            <w:tcBorders/>
            <w:shd w:fill="CCEEFF" w:val="clear"/>
            <w:vAlign w:val="center"/>
          </w:tcPr>
          <w:p>
            <w:pPr>
              <w:pStyle w:val="TableContents"/>
              <w:bidi w:val="0"/>
              <w:spacing w:before="0" w:after="283"/>
              <w:jc w:val="left"/>
              <w:rPr>
                <w:sz w:val="20"/>
              </w:rPr>
            </w:pPr>
            <w:r>
              <w:rPr>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sz w:val="20"/>
              </w:rPr>
            </w:pPr>
            <w:r>
              <w:rPr>
                <w:sz w:val="20"/>
              </w:rPr>
              <w:t>3,235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sz w:val="20"/>
              </w:rPr>
            </w:pPr>
            <w:r>
              <w:rPr>
                <w:sz w:val="20"/>
              </w:rPr>
              <w:t>3,235</w:t>
            </w:r>
          </w:p>
        </w:tc>
        <w:tc>
          <w:tcPr>
            <w:tcW w:w="97" w:type="dxa"/>
            <w:tcBorders/>
            <w:shd w:fill="CCEEFF" w:val="cle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283"/>
              <w:jc w:val="left"/>
              <w:rPr>
                <w:sz w:val="20"/>
              </w:rPr>
            </w:pPr>
            <w:r>
              <w:rPr>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sz w:val="20"/>
              </w:rPr>
            </w:pPr>
            <w:r>
              <w:rPr>
                <w:sz w:val="20"/>
              </w:rPr>
              <w:t>10,673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sz w:val="20"/>
              </w:rPr>
            </w:pPr>
            <w:r>
              <w:rPr>
                <w:sz w:val="20"/>
              </w:rPr>
              <w:t>11,273</w:t>
            </w:r>
          </w:p>
        </w:tc>
        <w:tc>
          <w:tcPr>
            <w:tcW w:w="97" w:type="dxa"/>
            <w:tcBorders/>
            <w:shd w:fill="FFFFFF" w:val="clear"/>
            <w:vAlign w:val="center"/>
          </w:tcPr>
          <w:p>
            <w:pPr>
              <w:pStyle w:val="TableContents"/>
              <w:bidi w:val="0"/>
              <w:spacing w:before="0" w:after="283"/>
              <w:jc w:val="left"/>
              <w:rPr/>
            </w:pPr>
            <w:r>
              <w:rPr/>
              <w:t> </w:t>
            </w:r>
          </w:p>
        </w:tc>
      </w:tr>
      <w:tr>
        <w:trPr/>
        <w:tc>
          <w:tcPr>
            <w:tcW w:w="7982" w:type="dxa"/>
            <w:tcBorders/>
            <w:shd w:fill="CCEEFF" w:val="clear"/>
            <w:vAlign w:val="center"/>
          </w:tcPr>
          <w:p>
            <w:pPr>
              <w:pStyle w:val="TableContents"/>
              <w:bidi w:val="0"/>
              <w:spacing w:before="0" w:after="283"/>
              <w:jc w:val="left"/>
              <w:rPr>
                <w:sz w:val="20"/>
              </w:rPr>
            </w:pPr>
            <w:r>
              <w:rPr>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r>
      <w:tr>
        <w:trPr/>
        <w:tc>
          <w:tcPr>
            <w:tcW w:w="7982" w:type="dxa"/>
            <w:tcBorders/>
            <w:shd w:fill="FFFFFF" w:val="clear"/>
            <w:vAlign w:val="center"/>
          </w:tcPr>
          <w:p>
            <w:pPr>
              <w:pStyle w:val="TableContents"/>
              <w:bidi w:val="0"/>
              <w:spacing w:before="0" w:after="283"/>
              <w:jc w:val="left"/>
              <w:rPr>
                <w:sz w:val="20"/>
              </w:rPr>
            </w:pPr>
            <w:r>
              <w:rPr>
                <w:sz w:val="20"/>
              </w:rPr>
              <w:t>Total capitalization*</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sz w:val="20"/>
              </w:rPr>
            </w:pPr>
            <w:r>
              <w:rPr>
                <w:sz w:val="20"/>
              </w:rPr>
              <w:t>31,765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sz w:val="20"/>
              </w:rPr>
            </w:pPr>
            <w:r>
              <w:rPr>
                <w:sz w:val="20"/>
              </w:rPr>
              <w:t>32,365</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140"/>
        <w:gridCol w:w="639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capitalization=Total liabilities and equity plus Non-controlling interests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178,807,981 ordinary shares outstanding as of December 31, 2025, comprising 161,876,157 Class A ordinary shares and 16,931,824 Class B ordinary shares, and excludes 265,028 ADSs (representing 7,950,867 Class A ordinary shares) reserved for future issuance under our 2021 Share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upp_0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securities in the offering, your interest will be diluted immediately to the extent of the difference between the public offering price per ADS and the adjusted net tangible book value per ADS after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ADS and per ADS amounts in this section give retroactive effect to the change in the ratio of our ADSs to our Class A ordinary shares, from one ADS representing three Class A ordinary shares to one ADS representing thirty Class A ordinary shares, which became effective on July 14,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deficit on December 31, 2025, was approximately $13.2 million, or $2.22 per  ADS. “Net tangible book value” is total assets minus the sum of liabilities and intangible assets. “Net tangible book value per ADS” is net tangible book value divided by the total number of ADSs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further effect to the issuance of 150,000 ADSs at an offering price of $7 per ADS, and after deducting the placement agent fees and the estimated offering expenses payable by us in connection with this offering, our as adjusted net tangible book deficit as of December 31, 2025 would have been approximately $12.6 million, or approximately $2.07 per ADS. This represents an immediate increase in net tangible book value of $0.15 per ADS to our existing shareholders and an immediate dilution in net tangible book value of $9.07 per ADS to investors  participating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per ADS to investors participating in this offering:</w:t>
      </w:r>
    </w:p>
    <w:p>
      <w:pPr>
        <w:pStyle w:val="TextBody"/>
        <w:bidi w:val="0"/>
        <w:spacing w:before="0" w:after="0"/>
        <w:ind w:left="0" w:right="0" w:firstLine="720"/>
        <w:jc w:val="both"/>
        <w:rPr>
          <w:caps w:val="false"/>
          <w:smallCaps w:val="false"/>
        </w:rPr>
      </w:pPr>
      <w:r>
        <w:rPr>
          <w:caps w:val="false"/>
          <w:smallCaps w:val="false"/>
        </w:rPr>
        <w:t> </w:t>
      </w:r>
    </w:p>
    <w:tbl>
      <w:tblPr>
        <w:tblW w:w="7955" w:type="dxa"/>
        <w:jc w:val="left"/>
        <w:tblInd w:w="0" w:type="dxa"/>
        <w:tblLayout w:type="fixed"/>
        <w:tblCellMar>
          <w:top w:w="0" w:type="dxa"/>
          <w:left w:w="0" w:type="dxa"/>
          <w:bottom w:w="0" w:type="dxa"/>
          <w:right w:w="0" w:type="dxa"/>
        </w:tblCellMar>
      </w:tblPr>
      <w:tblGrid>
        <w:gridCol w:w="7235"/>
        <w:gridCol w:w="60"/>
        <w:gridCol w:w="125"/>
        <w:gridCol w:w="440"/>
        <w:gridCol w:w="95"/>
      </w:tblGrid>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sz w:val="20"/>
              </w:rPr>
            </w:pPr>
            <w:r>
              <w:rPr>
                <w:sz w:val="20"/>
              </w:rPr>
              <w:t>Offering price per ADS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40" w:type="dxa"/>
            <w:tcBorders/>
            <w:shd w:fill="CCEEFF" w:val="clear"/>
            <w:vAlign w:val="center"/>
          </w:tcPr>
          <w:p>
            <w:pPr>
              <w:pStyle w:val="TableContents"/>
              <w:bidi w:val="0"/>
              <w:spacing w:before="0" w:after="283"/>
              <w:jc w:val="right"/>
              <w:rPr>
                <w:sz w:val="20"/>
              </w:rPr>
            </w:pPr>
            <w:r>
              <w:rPr>
                <w:sz w:val="20"/>
              </w:rPr>
              <w:t>7.00</w:t>
            </w:r>
          </w:p>
        </w:tc>
        <w:tc>
          <w:tcPr>
            <w:tcW w:w="9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sz w:val="20"/>
              </w:rPr>
            </w:pPr>
            <w:r>
              <w:rPr>
                <w:sz w:val="20"/>
              </w:rPr>
              <w:t>Historical net tangible book value per ADS as of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40" w:type="dxa"/>
            <w:tcBorders/>
            <w:shd w:fill="FFFFFF" w:val="clear"/>
            <w:vAlign w:val="center"/>
          </w:tcPr>
          <w:p>
            <w:pPr>
              <w:pStyle w:val="TableContents"/>
              <w:bidi w:val="0"/>
              <w:spacing w:before="0" w:after="283"/>
              <w:jc w:val="right"/>
              <w:rPr>
                <w:sz w:val="20"/>
              </w:rPr>
            </w:pPr>
            <w:r>
              <w:rPr>
                <w:sz w:val="20"/>
              </w:rPr>
              <w:t>(2.22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235" w:type="dxa"/>
            <w:tcBorders/>
            <w:shd w:fill="CCEEFF" w:val="clear"/>
            <w:vAlign w:val="center"/>
          </w:tcPr>
          <w:p>
            <w:pPr>
              <w:pStyle w:val="TableContents"/>
              <w:bidi w:val="0"/>
              <w:spacing w:before="0" w:after="283"/>
              <w:jc w:val="left"/>
              <w:rPr>
                <w:sz w:val="20"/>
              </w:rPr>
            </w:pPr>
            <w:r>
              <w:rPr>
                <w:sz w:val="20"/>
              </w:rPr>
              <w:t>Increase in net tangible book value per ADS attributable to new investors in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40" w:type="dxa"/>
            <w:tcBorders/>
            <w:shd w:fill="CCEEFF" w:val="clear"/>
            <w:vAlign w:val="center"/>
          </w:tcPr>
          <w:p>
            <w:pPr>
              <w:pStyle w:val="TableContents"/>
              <w:bidi w:val="0"/>
              <w:spacing w:before="0" w:after="283"/>
              <w:jc w:val="right"/>
              <w:rPr>
                <w:sz w:val="20"/>
              </w:rPr>
            </w:pPr>
            <w:r>
              <w:rPr>
                <w:sz w:val="20"/>
              </w:rPr>
              <w:t>0.15</w:t>
            </w:r>
          </w:p>
        </w:tc>
        <w:tc>
          <w:tcPr>
            <w:tcW w:w="9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sz w:val="20"/>
              </w:rPr>
            </w:pPr>
            <w:r>
              <w:rPr>
                <w:sz w:val="20"/>
              </w:rPr>
              <w:t>As adjusted net tangible book value per ADS after giving effect to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40" w:type="dxa"/>
            <w:tcBorders/>
            <w:shd w:fill="CCEEFF" w:val="clear"/>
            <w:vAlign w:val="center"/>
          </w:tcPr>
          <w:p>
            <w:pPr>
              <w:pStyle w:val="TableContents"/>
              <w:bidi w:val="0"/>
              <w:spacing w:before="0" w:after="283"/>
              <w:jc w:val="right"/>
              <w:rPr>
                <w:sz w:val="20"/>
              </w:rPr>
            </w:pPr>
            <w:r>
              <w:rPr>
                <w:sz w:val="20"/>
              </w:rPr>
              <w:t>(2.07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sz w:val="20"/>
              </w:rPr>
            </w:pPr>
            <w:r>
              <w:rPr>
                <w:sz w:val="20"/>
              </w:rPr>
              <w:t>Dilution per ADS to new investors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40" w:type="dxa"/>
            <w:tcBorders/>
            <w:shd w:fill="CCEEFF" w:val="clear"/>
            <w:vAlign w:val="center"/>
          </w:tcPr>
          <w:p>
            <w:pPr>
              <w:pStyle w:val="TableContents"/>
              <w:bidi w:val="0"/>
              <w:spacing w:before="0" w:after="283"/>
              <w:jc w:val="right"/>
              <w:rPr>
                <w:sz w:val="20"/>
              </w:rPr>
            </w:pPr>
            <w:r>
              <w:rPr>
                <w:sz w:val="20"/>
              </w:rPr>
              <w:t>9.07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5,960,266 ADSs outstanding and 178,807,981 ordinary shares outstanding as of December 31, 2025, comprising 161,876,157 Class A ordinary shares and 16,931,824 Class B ordinary shares, and excludes 265,028 ADSs (representing 7,950,867 Class A ordinary shares) reserved for future issuance under our 2021 Share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outstanding warrants are exercised, new options or other securities are issued under our 2021 Share Plan, or we issue additional securities in the future, there will be further dilution to investors purchasing ADSs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such securities could result in further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upp_009"/>
      <w:bookmarkEnd w:id="10"/>
      <w:r>
        <w:rPr>
          <w:rFonts w:ascii="Times New Roman;Times;Serif" w:hAnsi="Times New Roman;Times;Serif"/>
          <w:b/>
          <w:i w:val="false"/>
          <w:caps w:val="false"/>
          <w:smallCaps w:val="false"/>
          <w:sz w:val="20"/>
        </w:rPr>
        <w:t>DESCRIPTION OF OUR SECURITIES WE ARE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ADSs, including the rights of holders of the underlying Class A ordinary shares, are described in the description of American depositary shares and ordinary shares incorporated by reference in our 2025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upp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placement agency agreement with Univest Securities, LLC, which we refer to as the placement agent, in connection with this offering. The placement agent is not purchasing or selling any securities offered by this prospectus supplement, nor is it required to arrange the purchase or sale of any specific number or dollar amount of securities but has agreed to use its reasonable best efforts to arrange for the sale of all of the securities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securities purchase agreements with certain institutional investors, pursuant to which we agreed to sell to the investors an aggregate of 150,000 ADSs in this takedown from our shelf registration statement, and we will only sell ADSs to investors who have entered into the securities purchase agreements with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delivery of the securities issued and sold in this Offering to occur on August 7, 2026, subject to the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upon the closing a cash fee equal to 7.0% of the aggregate gross proceeds raised in this offering. No cash fee is payable in respect of gross proceeds raised from Pre-Existing Investors, which the placement agency agreement defines as investors sourced directly by us that are (i) shareholders of record as of the date of the placement agency agreement, (ii) investors directly and proactively sourced by our management, excluding sourcing through the placement agent, and identified to the placement agent in writing before any substantive solicitation, or (iii) directors, officers, general partners, managing members or controlled entities of an investor described in (i) or (ii). In addition, we agreed to reimburse the placement agent reasonable travel and out-of-pocket expenses, including legal counsel fees and disbursements, not to exceed an aggregate of One Hundred Thousand Dollars ($100,000), subject to compliance with FINRA Rule 5110(f)(2)(D).</w:t>
      </w:r>
    </w:p>
    <w:p>
      <w:pPr>
        <w:pStyle w:val="TextBody"/>
        <w:bidi w:val="0"/>
        <w:spacing w:before="0" w:after="0"/>
        <w:ind w:left="0" w:right="0" w:hanging="0"/>
        <w:jc w:val="both"/>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2615"/>
        <w:gridCol w:w="60"/>
        <w:gridCol w:w="183"/>
        <w:gridCol w:w="556"/>
        <w:gridCol w:w="60"/>
        <w:gridCol w:w="60"/>
        <w:gridCol w:w="125"/>
        <w:gridCol w:w="845"/>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ADS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1,050,000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agent’s fees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sz w:val="20"/>
              </w:rPr>
            </w:pPr>
            <w:r>
              <w:rPr>
                <w:sz w:val="20"/>
              </w:rPr>
              <w:t>$</w:t>
            </w:r>
          </w:p>
        </w:tc>
        <w:tc>
          <w:tcPr>
            <w:tcW w:w="556" w:type="dxa"/>
            <w:tcBorders/>
            <w:shd w:fill="FFFFFF" w:val="clear"/>
            <w:vAlign w:val="center"/>
          </w:tcPr>
          <w:p>
            <w:pPr>
              <w:pStyle w:val="TableContents"/>
              <w:bidi w:val="0"/>
              <w:spacing w:before="0" w:after="283"/>
              <w:jc w:val="right"/>
              <w:rPr>
                <w:sz w:val="20"/>
              </w:rPr>
            </w:pPr>
            <w:r>
              <w:rPr>
                <w:sz w:val="20"/>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73,500</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976,500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deducting fees due to the placement agent and our estimated offering expenses, we expect the net proceeds from this offering to be approximately $600,500.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pay the placement agent a tail fee equal to the compensation commensurate with the compensation paid or payable to the placement agent in connection with this offering in any subsequent offering of equity, debt and/or equity derivative instruments to any investor actually introduced by the placement agent to the Company during the period between the date of the placement agency agreement and the closing of this offering within twelve (12) months from the date of the placement agency agreement to the extent such subsequent offering is consummated at any time within the three-month period from the closing date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not to, without the prior written consent of the placement agent, from the date of the securities purchase agreements until 30 days after the closing of this offering, issue, enter into any agreement to issue or announce the issuance or proposed issuance of any ADSs, Class A ordinary shares or any securities of the Company or its subsidiaries which would entitle the holder thereof to acquire at any time ADSs or Class A ordinary shares, or file any registration statement or any amendment or supplement thereto, in each case subject to certain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that we will not, without the prior written consent of the placement agent, during the 30-day period from the closing of this offering, effectuate or enter into an agreement to effect any issuance of ADSs or any securities which would entitle the holder thereof to acquire at any time ADSs (or a combination of units thereof) involving, among others, transactions in which we (i) issue or sell any debt or equity securities that are convertible into, exchangeable or exercisable for, or include the right to receive additional ADSs either (A) at a conversion price, exercise price or exchange rate or other price that is based upon and/or varies with the trading prices of or quotations for the ADSs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our business or the market for the ADSs or (ii) enter into, or effect a transaction under, any agreement, including, but not limited to, an equity line of credit or other variable-priced arrangement, whereby we may issue securities at a future determined price, subject to certain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each of our directors and officers has agreed with us and the placement agent to be subject to a lock-up period of 30 days following the closing of this offering. This means that, during the applicable lock-up period, such persons may not offer for sale, contract to sell or sell any of our ADSs or any securities convertible into, or exercisable or exchangeable for, ADSs, subject to certain customary exceptions. The placement agent may, in its sole discretion and without notice, waive the terms of any of these 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offering price of the securities we are offering was negotiated among us, the placement agent and the investors in the offering based on the trading price of our ADSs prior to the offering, among other things. Other factors considered in determining the offering price of the securities included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and certain other persons against certain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an underwriter within the meaning of Section 2(a)(11) of the Securities Act, and any fees or commissions received by it and any profit realized on the resale of securities sold by it while acting as principal might be deemed to be underwriting discounts or commissions under the Securities Act. As an underwriter, the placement agent is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the placement agent:</w:t>
      </w:r>
    </w:p>
    <w:p>
      <w:pPr>
        <w:pStyle w:val="TextBody"/>
        <w:bidi w:val="0"/>
        <w:spacing w:before="0" w:after="0"/>
        <w:ind w:left="0" w:right="0" w:hanging="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not engage in any stabilization activity in connection with our securities;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not bid for or purchase any of our securities or attempt to induce any person to purchase any of our securities, other than as permitted under the Exchange Act, until it has completed its participation in the distribution.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common course of their respective businesses, the placement agent or its affiliates may in the future engage in investment banking and/or other services with us and our affiliates for which it has or may in the future receive customary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may be made available in electronic format on websites or through other online services maintained by the placement agent or by its affiliates. In those cases, prospective investors may view offering terms online and prospective investors may be allowed to place orders online. Other than this prospectus supplement and the accompanying prospectus in electronic format, the information on the placement agent’s websites or our website and any information contained in any other websites maintained by the placement agent or by us is not part of this prospectus supplement, the accompanying prospectus or the registration statement of which this prospectus supplement and the accompanying prospectus form a part, has not been approved and/or endorsed by us or the placement agent in its capacity as placement agent, and should not be relied upon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affiliates may provide from time to time in the future certain commercial banking, financial advisory, investment banking and other services for us in the ordinary course of their business, for which they may receive customary fees and commissions. In addition, from time to time, the placement agent and its affiliates may effect transactions for their own account or the account of customers, and hold on behalf of themselves or their customers, long or short positions in our debt or equity securities or loans, and may do so in the future. However, except as disclosed in this prospectus supplement, we have no present arrangements with the placement agent for any further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currently traded on the Nasdaq Global Market under the ticker symbol “YXT.”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upp_011"/>
      <w:bookmarkEnd w:id="12"/>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Cayman Islands, PRC and U.S. federal income tax consequences of an investment in the ADSs or Class A ordinary shares is based upon laws and relevant interpretations thereof in effect as of the date of this prospectus supplement, all of which are subject to change. This summary does not deal with all possible tax consequences relating to an investment in the ADSs or Class A ordinary shares, such as the tax consequences under U.S. state and local tax laws or under the tax laws of jurisdictions other than the Cayman Islands, the People’s Republic of China and the United States. To the extent that the discussion relates to matters of Cayman Islands tax law, it represents the opinion of Walkers (Hong Kong), our counsel as to Cayman Islands law, and to the extent it relates to PRC tax law, it represents the opinion of Global Law Office, our counsel as to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applicable to payments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our shares, nor will gains derived from the disposal of the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6 of the Tax Concessions Act (As Revised) of the Cayman Islands, we may apply for an undertaking from the Financial Secretary of the Cayman Islands: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no law which is enacted in the Cayman Islands imposing any tax to be levied on profits or income, gains or appreciations shall apply to us or our operations;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that no tax to be levied on profits, income, gains or appreciations or which is in the nature of estate duty or inheritance tax shall be payable (i) on or in respect of the shares, debentures or other obligations of the Company; or (ii) by way of the withholding in whole or in part of any relevant payment as defined in section 6(3) of the Tax Concessions Act (As Revised).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enterprise income tax is calculated based on taxable income, which is determined under (1) the PRC Enterprise Income Tax Law, promulgated by the NPC and implemented in January 2008 and amended in December 2018, or the EIT Law, and (2) the implementation rules to the EIT Law promulgated by the State Council in January 2008 and amended in April 2019.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according to the EIT Law, enterprises registered in countries or regions outside the PRC but have their “de facto management bodies” located within China may be considered as PRC resident enterprises and are therefore subject to PRC enterprise income tax at the rate of 25% on their worldwide income. Though the implementation rules of the EIT Law define “de facto management bodies” as “establishments that carry out substantial and overall management and control over the manufacturing and business operations, personnel, accounting, properties, etc., of an enterprise,” the only detailed guidance currently available for the definition of  “de facto management body” as well as the determination and administration of tax residency status of offshore-incorporated enterprises are set forth in the Notice Regarding the Determination of Chinese-Controlled Overseas Incorporated Enterprises as PRC Tax Resident Enterprises on the Basis of De Facto Management Bodies promulgated by SAT in April 2009 (“SAT Circular 82”), the Administrative Measures for Enterprise Income Tax of Chinese-Controlled Overseas Incorporated Resident Enterprises (Trial Version) issued by the SAT in July 2011 (“SAT Bulletin No. 45”), and the Notice on Issues Related To Implementation of Determination of Tax Resident Enterprise on the Basis of De Facto Management Bodies issued by the SAT in January 2014 (“SAT Bulletin No. 9”), all of which provide guidance on the administration as well as the determination of the tax residency status of a Chinese-controlled offshore-incorporated enterprise, defined as an enterprise that is incorporated under the law of a foreign country or territory and that has a PRC company or PRC corporate group as its primary controlling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SAT Circular 82, a Chinese-controlled offshore-incorporated enterprise will be regarded as a PRC resident enterprise by virtue of having its “de facto management body” in China and will be subject to PRC enterprise income tax on its global income only if all of the following conditions are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senior management and core management departments in charge of the enterprise’s daily operations function are mainly in the PRC;</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and human resources decisions of the enterprise are subject to determination or approval by persons or bodies in the PRC;</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enterprise’s major assets, accounting books, company seals, and minutes and files of its board and shareholders’ meetings are located or kept in the PRC; and</w:t>
            </w:r>
          </w:p>
        </w:tc>
      </w:tr>
    </w:tbl>
    <w:p>
      <w:pPr>
        <w:pStyle w:val="TextBody"/>
        <w:bidi w:val="0"/>
        <w:spacing w:before="0" w:after="0"/>
        <w:ind w:left="0" w:right="0" w:firstLine="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 or more of the enterprise’s directors or senior management with voting right habitually reside in the PRC.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 Bulletin No. 45 further clarifies certain issues related to the determination of tax resident status and competent tax authorities. It also specifies that when provided with a copy of Recognition of Residential Status from a resident Chinese-controlled offshore-incorporated enterprise, a payer does not need to withhold income tax when paying certain PRC-sourced income such as dividends, interest and royalties to such Chinese-controlled offshore-incorporated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 Bulletin No. 9 further provides that, among other things, an entity that is classified as a “PRC resident enterprise” in accordance with the SAT Circular 82 shall file the application for classifying its status of residential enterprise with the local tax authorities where its main domestic investors are registered. From the year in which the entity is determined as a “PRC resident enterprise”, any dividend, profit and other equity investment gain shall be taxed in accordance with the EIT Law and its implementing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any of our subsidiaries outside of mainland China were to be considered a PRC “resident enterprise” under the EIT Law, we will be subject to PRC enterprise income tax on our worldwide income at a uniform tax rate of 25.0%. See “Risk Factors — Risks Related to Doing Business in China — If we are classified as a PRC resident enterprise for PRC income tax purposes, such classification could result in unfavorable tax consequences to us and our non-PRC shareholders or the ADSs holders” in the 2025 Annual Report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for Share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Public Notice Regarding Certain Enterprise Income Tax Matters on Indirect Transfer of Properties by Non-resident Enterprise (“SAT Bulletin 7”), promulgated by the SAT in February 2015, if a non-resident enterprise transfers the equity interests of a PRC resident enterprise indirectly by transfer of the equity interests of an offshore holding company (other than a purchase and sale of shares issued by a PRC resident enterprise in public securities market) without a reasonable commercial purpose, the PRC tax authorities have the power to reassess the nature of the transaction and the indirect equity transfer will be treated as a direct transfer. As a result, the gain derived from such transfer, which means the equity transfer price less the cost of equity, will be subject to PRC withholding tax at a rate of up to 10%. Under the terms of SAT Bulletin 7, the transfer which meets all of the following circumstances shall be directly deemed as having no reasonable commercial purposes: (1) over 75% of the value of the equity interests of the offshore holding company are directly or indirectly derived from PRC taxable properties; (2)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(3) the function performed and risks assumed by the offshore holding company are insufficient to substantiate its corporate existence; or (4) the foreign income tax imposed on the indirect transfer is lower than the PRC tax imposed on the direct transfer of the PRC taxable properties. In October 2017, SAT issued the Announcement of the State Administration of Taxation on Issues Concerning the Withholding of Non-resident Enterprise Income Tax at Source (“SAT Bulletin 37”), which, among others, repeals certain rules stipulated in SAT Bulletin 7 and became effective on December 1, 2017. The SAT Bulletin 37 further details and clarifies the tax withholding methods in respect of income of non-resident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the application of SAT Bulletin 7. SAT Bulletin 7 may be determined by the PRC tax authorities to be applicable to our prior private equity financing transactions that involved non-resident investors, if any of such transactions are determined by the tax authorities to lack reasonable commercial purpose. As a result, we and our non-resident investors in such transactions may become at risk of being taxed under SAT Bulletin 7, and we may be required to expend valuable resources to comply with SAT Bulletin 7 or to establish that we should not be taxed under the general anti-avoidance rule of the EIT Law, which may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EIT Law and its implementation rules, if a non-resident enterprise has not set up an organization or establishment in the PRC,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withholding tax rate in respect to the payment of dividends by a PRC enterprise to a Hong Kong enterprise is reduced to 5% from a standard rate of 10% if the Hong Kong enterprise directly holds at least 25% of the PRC enterprise. Pursuant to the Notice of the SAT on the Issues concerning the Application of the Dividend Clauses of Tax Agreements, or SAT Circular 81, promulgated by the SAT in February 2009, a Hong Kong resident enterprise must meet the following conditions, among others, in order to enjoy the reduced withholding tax: (1) it should be a company as provided in the tax treaty; (2) it must directly own the required percentage of equity interests and voting rights in the PRC resident enterprise; and (3) it must have directly owned such percentage in the PRC resident enterprise throughout the 12 months prior to receiving the dividends. In August 2015, the SAT promulgated the Administrative Measures for Non-Resident Taxpayers to Enjoy Treatments under Tax Treaties, or SAT Circular 60, which became effective in November 2015 and was repealed in January 2020. SAT Circular 60 provides that non-resident enterprises are not required to obtain pre-approval from the relevant tax authority in order to enjoy the reduced withholding tax rate.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In February 2018, the SAT promulgated the Notice on Issues Related to the “Beneficial Owner” in Tax Treaties, according to which when determining the applicant’s status of the “beneficial owner” regarding tax treatments in connection with dividends in the tax treaties, several factors, including without limitation, whether the applicant is obligated to pay more than 50% of its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In October 2019, the SAT promulgated the Administrative Measures for Non-Resident Taxpayers to Enjoy Treatments under Tax Treaties, or SAT Circular 35. SAT Circular 35 became effective on January 1, 2020 and superseded SAT Circular 60 on the same date. Compared to SAT Circular 60, SAT Circular 35 provides that the nonresident enterprises and their withholding agents are not required to submit the supporting documents for tax treaty benefits when performing tax filings. Instead, nonresident enterprises and their withholding agents may retain such supporting documents themselves for the post-tax filing examinations by the relevant tax authorities. According to the Circular on Several Issues regarding the “Beneficial Owner” in Tax Treaties, or Circular 9, which was issued in February 2018 by the STA, effective as of April 1, 2018, when determining the applicant’s status as the “beneficial owner” regarding tax treatments in connection with dividends, interests or royalties in the tax treaties, several factors, including without limitation, whether the applicant is obligated to pay more than 50% of its income in twelve months to residents in a third country or region, whether the business operated by the applicant constitutes actual business activities, and whether the counterparty country or region to the tax treaties does not levy any tax or grant tax exemption on relevant incomes or levy tax at an extremely low rate, will be taken into account and analyzed based on specific circumstances. This Circular further provides that applicants who intend to prove his or her status as the “beneficial owner” shall submit the relevant documents to the relevant tax bureau according to the Administrative Measures for Non-Resident Enterprises to Enjoy Treatments under Tax Treaties. If our Hong Kong subsidiary satisfies all the requirements under the tax arrangement and receives approval from the relevant tax authority, the dividends paid to the Hong Kong subsidiary would be subject to withholding tax at the standard rate of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material United States federal income tax considerations relating to the ownership and disposition of the ADSs and ordinary shares by a U.S. Holder, as defined below, that holds the ADSs and ordinary shares as “capital assets” (generally, property held for investment) under the United States Internal Revenue Code of 1986, as amended, or the Code. This discussion is based upon existing United States federal income tax law as of the date of this prospectus supplement, which is subject to differing interpretations or change, possibly with retroactive effect. No ruling has been sought from the Internal Revenue Service, or the IRS, with respect to any United States federal income tax consequences described below, and there can be no assurance that the IRS or a court will not take a contrary position. This discussion does not address all aspects of United States federal income taxation that may be important to particular investors in light of their individual circumstances, including investors subject to special tax rules (such as, for example, financial institutions, insurance companies, regulated investment companies, real estate investment trusts, broker-dealers, traders in securities that elect mark-to-market treatment, partnerships or other pass-through entities and their partners or investors, tax-exempt organizations (including private foundations)), investors who are subject to special tax accounting rules under Section 451(b) of the Code, investors who are not U.S. Holders, investors that own (directly, indirectly, or constructively) the ADSs and ordinary shares representing 10% or more of our stock (by vote or by value), investors that hold their ADSs and ordinary shares as part of a straddle, hedge, conversion, constructive sale or other integrated transaction, or investors that have a functional currency other than the U.S. dollar, persons who acquired the ADSs and ordinary shares pursuant to the exercise of any employee share option or otherwise as compensation, or certain former citizens or long-term residents of the United States, all of whom may be subject to tax rules that differ significantly from those summarized below. In addition, this discussion does not address any United States federal non-income, state or local, or non-United States tax considerations, the alternative minimum tax, or the Medicare contribution tax on net investment income. Each potential investor is urged to consult its tax advisor regarding the United States federal, state or local and non-United States income and other tax considerations of an investment in the ADSs and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the ADSs and ordinary shares that is, for United States federal income tax purposes, (1) an individual who is a citizen or resident of the United States, (2) a corporation (or other entity treated as a corporation for United States federal income tax purposes) created in, or organized under the laws of, the United States or any state thereof or the District of Columbia, (3) an estate the income of which is includible in gross income for United States federal income tax purposes regardless of its source, or (4)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United States federal income tax purposes) is a beneficial owner of the ADSs and ordinary shares, the tax treatment of a partner in the partnership will depend upon the status of the partner and the activities of the partnership. Partnerships and partners of a partnership holding the ADSs and ordinary shares are urged to consult their tax advisors regarding an investment in the ADSs and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assumes the deposit agreement and any related agreement will be complied with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federal income tax purposes, a U.S. Holder of ADSs will generally be treated as the beneficial owner of the underlying shares represented by the ADSs. Accordingly, exchanges of ordinary shares for ADSs will generally not be subject to United States federal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federal income tax purposes, the acquisition of an ADS should be treated as an investment unit consisting of one ADS. The purchase price paid for each unit must be allocated between the ADS based on their respective relative fair market values.  Under United States federal income tax law, each investor must make his or her own determination of such value based on all the relevant facts and circumstances. Therefore, we strongly urge each investor to consult its own tax advisor regarding the determination of value for these purposes. The price allocated to each ADS should be the U.S. Holder’s tax basis in such ADS,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treatment of the ADS and a U.S. Holder’s purchase price allocation are not binding on the Internal Revenue Service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United States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are urged to consult their tax advisors regarding the United States federal income tax consequences of an investment in a unit, and the allocation between the ADS of the purchase price paid for a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non-United States corporation, such as our company, will be classified as a “passive foreign investment company,” or PFIC, for United States federal income tax purposes, if, in the case of any particular fiscal year, either (1) 75% or more of its gross income for such year consists of certain types of “passive” income or (2) 50% or more of its average quarterly assets during such year is attributable to assets that produce or are held for the production of passive income. For this purpose, cash is categorized as a passive asset and the company’s unbooked intangibles associated with active business activities may generally be classified as active assets. Passive income generally includes, among other things, dividends, interest, rents, royalties, and gains from the disposition of passive assets. We will be treated as owning our proportionate share of the assets and earning our proportionate share of the income of any other non-United States corporation in which we own, directly or indirectly, more than 25%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will be or become a PFIC will depend upon the composition of our income (which may differ from our historical results and current projections) and assets and the value of our assets from time to time, including, in particular the value of our goodwill and other unbooked intangibles (which may depend upon the market value of the ADSs or ordinary shares from time-to-time and may be volatile). In addition, although the law in this regard is unclear, we treat the consolidated affiliated entities as being owned by us for United States federal income tax purposes, not only because we exercise effective control over the operation of such entities but also because we are entitled to substantially all of their economic benefits, and, as a result, we combine and consolidate their operating results in our consolidated financial statements. Assuming that we are the owner of the consolidated affiliated entities for United States federal income tax purposes, based upon the historical and current value of our assets, composition of our income and assets and value of the ADSs and ordinary shares, we do not believe we were classified as a PFIC for the fiscal year ended December 31, 2023 and we do not expect to be classified as a PFIC for the current fiscal year. Among other matters, if our market capitalization declines, we may be classified as a PFIC for the current fiscal year or future fiscal years. It is also possible that the IRS, may challenge our classification or valuation of our goodwill and other unbooked intangibles, which may result in our company being, or becoming classified as, a PFIC for the current fiscal year or one or more future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will be or become a PFIC may also depend, in part, on how, and how quickly, we use our liquid assets and cash. Under circumstances where we retain significant amounts of liquid assets, or if the consolidated affiliated entities were not treated as owned by us for United States federal income tax purposes, our risk of being classified as a PFIC may substantially increase. Because there are uncertainties in the application of the relevant rules and PFIC status is a factual determination made annually after the close of each fiscal year, there can be no assurance that we will not be a PFIC for the current fiscal year ended December 31, 2023 or any future fiscal year or that the IRS will not take a contrary position. If we are classified as a PFIC for any year during which a U.S. Holder holds the ADSs or ordinary shares, we generally would continue to be treated as a PFIC for all succeeding years during which such U.S. holder holds the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under “Taxation of distributions on ADSs and ordinary shares” and “Sale or other disposition of ADSs or ordinary shares” is written on the basis that we will not be classified as a PFIC for United States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federal income tax rules that apply if we are classified as a PFIC for the current fiscal year or any subsequent fiscal year are discussed below under “Passive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 on ADSs and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any cash distributions (including the amount of any PRC tax withheld) paid on the ADSs or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ordinary shares, or by the depositary bank, in the case of ADSs. Because we do not intend to determine our earnings and profits on the basis of United States federal income tax principles, any distribution will generally be treated as a “dividend” for United States federal income tax purposes. Under current law, a non-corporate recipient of dividend income will generally be subject to tax on dividend income from a “qualified foreign corporation” at the lower rates applicable to “qualified dividend income” rather than the marginal tax rates generally applicable to ordinary income, provided that certain holding period and other requirements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non-United States corporation (other than a corporation that is classified as a PFIC for the fiscal year in which the dividend is paid or the preceding fiscal year) will generally be considered to be a qualified foreign corporation (1) if it is eligible for the benefits of a comprehensive tax treaty with the United States which the Secretary of Treasury of the United States determines is satisfactory for purposes of this provision and which includes an exchange of information program, or (2) with respect to any dividend it pays on stock (or ADSs in respect of such stock) which is readily tradable on an established securities market in the United States. Our ADSs are listed on NASDAQ. We believe, but cannot assure you, that the ADSs will be readily tradable on an established securities market in the United States and that we will be a qualified foreign corporation with respect to dividends paid on the ADSs. Since we do not expect that our ordinary shares will be listed on established securities markets, it is unclear whether dividends that we pay on our ordinary shares that are not backed by ADSs currently meet the conditions required for the reduced tax rate. There can be no assurance that the ADSs will continue to be considered readily tradable on an established securities market in later years. In the event we are deemed to be a PRC resident enterprise under the Enterprise Income Tax Law (see “— People’s Republic of China Taxation”), we may be eligible for the benefits of the Agreement Between the Government of the United States of America and the Government of the People’s Republic of China for the Avoidance of Double Taxation and the Prevention of Tax Evasion with Respect to Taxes on Income, or the United States-PRC income tax treaty (which the Secretary of the Treasury of the United States has determined is satisfactory for this purpose), in which case we would be treated as a qualified foreign corporation with respect to dividends paid on our ordinary shares (regardless of whether such shares are backed by ADSs) or ADSs. U.S. Holders are urged to consult their tax advisors regarding the availability of the reduced tax rate on dividends in their particular circumstances. Dividends received on the ADSs or ordinary shares will not be eligible for the dividends received deduction allowed to qualifying corporations under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foreign tax credit purposes, dividends paid on the ADSs or ordinary shares will generally be treated as income from foreign sources and will generally constitute passive category income. In the event that we are deemed to be a PRC resident enterprise under the Enterprise Income Tax Law, a U.S. Holder may be subject to PRC withholding taxes on dividends paid, if any, on the ADSs or ordinary shares. A U.S. Holder may be eligible, subject to a number of complex limitations, to claim a foreign tax credit in respect of any foreign withholding taxes imposed on dividends received on the ADSs or ordinary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U.S. Holders are urged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 of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a U.S. Holder will generally recognize capital gain or loss, if any, upon the sale or other disposition of ADSs or ordinary shares in an amount equal to the difference between the amount realized upon the disposition and the holder’s adjusted tax basis in such ADSs or ordinary shares. Any capital gain or loss will be long-term capital gain or loss if the ADSs or ordinary shares have been held for more than one year and will generally be United States source gain or loss for United States foreign tax credit purposes. Long-term capital gains of non-corporate U.S. Holders are currently eligible for reduced rates of taxation. In the event that we are treated as a PRC resident enterprise under the EIT Law, and gain from the disposition of the ADSs or ordinary shares is subject to tax in the PRC (see “— People’s Republic of China Taxation”), such gain may be treated as PRC source gain for foreign tax credit purposes under the United States-PRC income tax treaty. The deductibility of a capital loss may be subject to limitations. U.S. Holders are urged to consult their tax advisors regarding the tax consequences if a foreign tax is imposed on a disposition of the ADSs or ordinary shares, including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fiscal year during which a U.S. Holder holds the ADSs or ordinary shares, unless the U.S. Holder makes one of certain elections (as described below), the U.S. Holder will, except as discussed below, be subject to special tax rules that have a penalizing effect, regardless of whether we remain a PFIC, on (1) any excess distribution that we make to the U.S. Holder (which generally means any distribution paid during a fiscal year to a U.S. Holder that is greater than 125% of the average annual distributions paid in the three preceding fiscal years or, if shorter, the U.S. Holder’s holding period for the ADSs or ordinary shares), and (2) any gain realized on the sale or other disposition, including, under certain circumstances, a pledge, of ADSs or ordinary shares. Under the PFIC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distribution and/or gain will be allocated ratably over the U.S. Holder’s holding period for the ADSs or ordinary shares;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excess distribution or gain allocated to the fiscal year of distribution or gain and to any fiscal years in the U.S. Holder’s holding period prior to the first fiscal year in which we are classified as a PFIC (each such fiscal year, a pre-PFIC year) will be taxable as ordinary income;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excess distribution or gain allocated to each prior fiscal year, other than the current fiscal year of distribution or gain or a pre-PFIC year, will be subject to tax at the highest tax rate in effect applicable to the individuals or corporations, as appropriate, for that other fiscal year, and will be increased by an additional tax equal to interest on the resulting tax deemed deferred with respect to each such other fiscal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fiscal year during which a U.S. Holder holds the ADSs or ordinary shares and any of our non-United States subsidiaries or other corporate entities in which we own equity interests is also a PFIC, such U.S. Holder would be treated as owning a proportionate amount (by value) of the shares of the lower-tier PFIC for purposes of the application of these rules. Each U.S. Holder is advised to consult its tax advisors regarding the application of the PFIC rules to any of our lower-tier PFICs.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fiscal year during which a U.S. Holder holds the ADSs or ordinary shares, we will continue to be treated as a PFIC with respect to such U.S. Holder for all succeeding years during which the U.S. Holder holds the ADSs or ordinary shares, unless we were to cease to be a PFIC and the U.S. Holder makes a “deemed sale” election with respect to the ADSs or ordinary shares. If such election is made, the U.S. Holder will be deemed to have sold the ADSs or ordinary shares it holds at their fair market value and any gain from such deemed sale would be subject to the rules described in the preceding two paragraphs. After the deemed sale election, so long as we do not become a PFIC in a subsequent fiscal year, the ADSs or ordinary shares with respect to which such election was made will not be treated as shares in a PFIC and, as a result, the U.S. Holder will not be subject to the rules described above with respect to any “excess distribution” the U.S. Holder receives from us or any gain from an actual sale or other disposition of the ADSs or ordinary shares. Each U.S. Holder is strongly urged to consult its tax advisors as to the possibility and consequences of making a deemed sale election if we are and then cease to be a PFIC and such an election becomes available to the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the ADSs, provided that the ADSs are “regularly traded” (as specially defined) on NASDAQ, which is a qualified exchange or other market for these purposes. No assurances may be given regarding whether the ADSs qualify, or will continue to qualify, as being regularly traded in this regard. If a mark-to-market election is made, the U.S. Holder will generally (1) include as ordinary income for each fiscal year that we are a PFIC the excess, if any, of the fair market value of ADSs held at the end of the fiscal year over the U.S. Holder’s adjusted tax basis in such ADSs and (2) deduct as an ordinary loss the excess, if any, of the U.S. Holder’s adjusted tax basis in the ADSs over the fair market value of such ADSs held at the end of the fiscal year, but only to the extent of the net amount previously included in income as a result of the mark-to-market election. The U.S. Holder’s adjusted tax basis in the ADSs would be adjusted to reflect any income or loss resulting from the mark-to-market election. If a U.S. Holder makes an effective mark-to-market election, in each year that we are a PFIC any gain recognized upon the sale or other disposition of the ADSs will be treated as ordinary income and any loss will be treated as ordinary loss, but only to the extent of the net amount previously included in income as a result of the mark-to-market election. Because our ordinary shares are not listed on a stock exchange, U.S. Holders will not be able to make a mark-to-market election with respect to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in respect of a corporation classified as a PFIC and such corporation ceases to be classified as a PFIC, the U.S. Holder will not be required to take into account the mark-to-market gain or loss described above during any period that such corporation is not classified as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a PFIC may own, a U.S. Holder who makes a mark-to-market election with respect to the ADSs may continue to be subject to the general PFIC rules with respect to such U.S. Holder’s indirect interest in any of our non-United States subsidiaries or other corporate entities in which we own equity interests that is classified as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the general tax treatment for PFICs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“Taxation of distributions on ADSs and ordinary shares,” dividends that we pay on the ADSs or ordinary shares will not be eligible for the reduced tax rate that applies to qualified dividend income if we are classified as a PFIC for the fiscal year in which the dividend is paid or the preceding fiscal year. In addition, if a U.S. Holder owns the ADSs or ordinary shares during any fiscal year that we are a PFIC, the holder must file an annual information return with the IRS. Each U.S. Holder is urged to consult its tax advisor concerning the United States federal income tax consequences of purchasing, holding, and disposing ADSs or ordinary shares if we are or become a PFIC, including the possibility of making a mark-to-market election and the unavailability of the qualified electing fund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IRS relating to an interest in “specified foreign financial assets” (as defined in the Code), including shares issued by a non-United States corporation, for any year in which the aggregate value of all specified foreign financial assets exceeds $50,000 (or a higher dollar amount prescribed by the IRS), subject to certain exceptions (including an exception for shares held in custodial accounts maintained with a United States financial institution). These rules also impose penalties if a U.S. Holder is required to submit such information to the IRS and fails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U.S. Holders may be subject to information reporting to the IRS and backup withholding with respect to dividends on and proceeds from the sale or other disposition of the ADSs or ordinary shares. Information reporting will apply to payments of dividends on, and to proceeds from the sale or other disposition of the ADSs or ordinary shares by a paying agent within the United States to a U.S. Holder, other than U.S. Holders that are exempt from information reporting and properly certify their exemption. A paying agent within the United States will be required to withhold at the applicable statutory rate, currently 24%, in respect of any payments of dividends on, and the proceeds from the disposition of, the ADSs or ordinary shares within the United States to a U.S. Holder (other than U.S. Holders that are exempt from backup withholding and properly certify their exemption) if the holder fails to furnish its correct taxpayer identification number or otherwise fails to comply with applicable backup withholding requirements. U.S. Holders who are required to establish their exempt status generally must provide a properly completed IRS Form W-9.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U.S. Holder’s United States federal income tax liability. A U.S. Holder generally may obtain a refund of any amounts withheld under the backup withholding rules by filing the appropriate claim for refund with the IRS in a timely manner and furnishing any required information. Each U.S. Holder is advised to consult with its tax advisor regarding the application of the United States information reporting rules to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upp_012"/>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matters as to U.S. federal securities law in connection with this offering will be passed upon for us by Loeb &amp; Loeb LLP. The validity of the ADSs and certain legal matters relating to the offering as to Cayman Islands law will be passed upon for us by Walkers (Hong Kong). Certain legal matters relating to the offering as to PRC law will be passed upon for us by Global Law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upp_013"/>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YXT.COM GROUP HOLDING LIMITED appearing in the 2025 Annual Report have been audited by Marcum Asia CPAs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Marcum Asia CPAs LLP’s Beijing office is located at Units 06-09, 46th Floor, China World Tower B, No. 1 Jianguomen Wai Avenue, Chaoyang District, Beijing,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upp_014"/>
      <w:bookmarkEnd w:id="1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supplement the following documents that we have filed with the SEC under the Exchange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the Company’s </w:t>
            </w:r>
            <w:hyperlink r:id="rId3">
              <w:r>
                <w:rPr>
                  <w:rStyle w:val="InternetLink"/>
                  <w:rFonts w:ascii="Times New Roman;Times;Serif" w:hAnsi="Times New Roman;Times;Serif"/>
                  <w:sz w:val="20"/>
                </w:rPr>
                <w:t>Annual Report on Form 20-F for the fiscal year ended December 31, 2025, filed with the SEC on April 29, 2026</w:t>
              </w:r>
            </w:hyperlink>
            <w:r>
              <w:rPr>
                <w:rFonts w:ascii="Times New Roman;Times;Serif" w:hAnsi="Times New Roman;Times;Serif"/>
                <w:sz w:val="20"/>
              </w:rPr>
              <w:t>;</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the Company’s Reports on Form 6-K, filed with the SEC on </w:t>
            </w:r>
            <w:hyperlink r:id="rId4">
              <w:r>
                <w:rPr>
                  <w:rStyle w:val="InternetLink"/>
                  <w:rFonts w:ascii="Times New Roman;Times;Serif" w:hAnsi="Times New Roman;Times;Serif"/>
                  <w:sz w:val="20"/>
                </w:rPr>
                <w:t>July 10, 2026</w:t>
              </w:r>
            </w:hyperlink>
            <w:r>
              <w:rPr>
                <w:rFonts w:ascii="Times New Roman;Times;Serif" w:hAnsi="Times New Roman;Times;Serif"/>
                <w:sz w:val="20"/>
              </w:rPr>
              <w:t xml:space="preserve"> and </w:t>
            </w:r>
            <w:hyperlink r:id="rId5">
              <w:r>
                <w:rPr>
                  <w:rStyle w:val="InternetLink"/>
                  <w:rFonts w:ascii="Times New Roman;Times;Serif" w:hAnsi="Times New Roman;Times;Serif"/>
                  <w:sz w:val="20"/>
                </w:rPr>
                <w:t>July 31, 2026</w:t>
              </w:r>
            </w:hyperlink>
            <w:r>
              <w:rPr>
                <w:rFonts w:ascii="Times New Roman;Times;Serif" w:hAnsi="Times New Roman;Times;Serif"/>
                <w:sz w:val="20"/>
              </w:rPr>
              <w:t>; and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ADSs and ordinary shares incorporated by reference in our registration statement on </w:t>
            </w:r>
            <w:hyperlink r:id="rId6">
              <w:r>
                <w:rPr>
                  <w:rStyle w:val="InternetLink"/>
                  <w:rFonts w:ascii="Times New Roman;Times;Serif" w:hAnsi="Times New Roman;Times;Serif"/>
                </w:rPr>
                <w:t>Form 8-A, as amended (File No. 001-42209) filed with the SEC on August 7, 2024</w:t>
              </w:r>
            </w:hyperlink>
            <w:r>
              <w:rPr>
                <w:rFonts w:ascii="Times New Roman;Times;Serif" w:hAnsi="Times New Roman;Times;Serif"/>
              </w:rPr>
              <w:t>, including any amendment and report subsequently filed for the purpose of updating that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additional documents that we file with the SEC pursuant to Sections 13(a), 13(c), 14 or 15(d) of the Exchange Act that are filed after the filing date of the registration statement of which this prospectus supplement is a part and prior to effectiveness of that registration statement. We are not, however, incorporating, in each case, any documents or information that we are deemed to “furnish” and not file in accordance with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we will provide, without charge, to each person who receives this prospectus supplement, a copy of any or all of the documents incorporated by reference, other than exhibits to the documents that are not specifically incorporated by reference in those documents. Please direct written or oral requests for copies to us at Room 501-502, No. 78 East Jinshan Road, Huqiu District, Suzhou, Jiangsu, 215011,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supplement or the accompanying prospectus. We have not authorized anyone else to provide you with different information. You should not assume that the information in this prospectus supplement or the accompanying prospectus is accurate as of any date other than the date on the front page of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supp_015"/>
      <w:bookmarkEnd w:id="16"/>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incorporated in the Cayman Islands because of the benefits associated with being a Cayman Islands exempted company, including political and economic stability, an effective judicial system, a favorable tax system, the absence of foreign exchange controls or currency restrictions and the availability of professional and support services. However, the Cayman Islands have a less developed body of securities laws than the United States, and Cayman Islands companies may not have standing to sue before U.S. federal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substantially all of our operations in China and substantially all of our assets are located in China. In addition, most of our directors and executive officers reside in China and are PRC nationals. As a result, it may be difficult or impossible for a shareholder to effect service of process within the United States upon us or these persons, or to enforce against us or them judgments obtained in U.S. courts, including judgments predicated upon the civil liability provisions of the U.S. federal securities laws or any state securities laws. It may also be difficult for a shareholder to enforce judgments obtained in U.S. courts against our assets or the assets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recognition and enforcement of foreign judgments are provided for under the PRC Civil Procedure Law. PRC courts may recognize and enforce foreign judgments in accordance with treaties between China and the country where the judgment is made or on principles of reciprocity. China does not have treaties or other forms of reciprocity with the United States that provide for reciprocal recognition and enforcement of foreign judgments. In addition, PRC courts will not enforce a foreign judgment if they determine that it violates the basic principles of PRC laws or national sovereignty, national security or public interest. Accordingly, it is uncertain whether a PRC court would enforce a judgment rendered by a U.S. court. Foreign shareholders may in appropriate circumstances bring actions under PRC law against us in the PRC if they can establish a sufficient connection to the PRC and satisfy applicable procedural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New York 10168,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(Hong Kong), our counsel as to Cayman Islands law, and Global Law Office, our counsel as to PRC law, have advised us, respectively, that there is uncertainty as to whether the courts of the Cayman Islands and China, respectively, would: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or enforce judgments of U.S. courts obtained against us or our directors or officers predicated upon the civil liability provisions of the U.S. federal securities laws or any state securities laws; or</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original actions brought in the Cayman Islands or China, impose liabilities against us predicated upon the civil liability provisions of the U.S. federal securities laws or any state securities laws, insofar as the liabilities imposed by those provisions are penal in nature.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those circumstances, although there is no statutory enforcement in the Cayman Islands of judgments obtained in the United States, the courts of the Cayman Islands may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the judgment generally must be final and conclusive and for a liquidated sum, and must not be in respect of taxes or a fine or penalty, inconsistent with a Cayman Islands judgment in respect of the same matter, impeachable on the grounds of fraud, obtained in a manner contrary to natural justice or of a kind whose enforcement is contrary to the public policy of the Cayman Islands. Awards of punitive or multiple damages may be contrary to public policy. A Cayman Islands court may stay enforcement proceedings if concurrent proceedings are being brought elsewhere.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upp_016"/>
      <w:bookmarkEnd w:id="17"/>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supp_017"/>
      <w:bookmarkEnd w:id="1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(File No. 333-292185) under the Securities Act with respect to the securities offered by this prospectus supplement. This prospectus supplement and the accompanying prospectus, which are part of that registration statement, omit certain information, exhibits, schedules and undertakings set forth in the registration statement, as permitted by the SEC. We and The Bank of New York Mellon, as depositary, have also filed a registration statement on Form F-6 (File No. 333-280774) relating to our ADSs. For further information pertaining to us and the securities offered in this prospectus supplement, reference is made to those registration statements and the exhibits and schedules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applicable to foreign private issuers. Accordingly, we are required to file reports, including annual reports on Form 20-F, and other information with the SEC. As a foreign private issuer, we are exempt from the Exchange Act rules prescribing the furnishing and content of proxy statements and Section 16 short-swing profit reporting for our officers, directors and holders of more than 10%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US$100,000,000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our Class A ordinary shares, including Class A ordinary shares represented by American depositary shares, or ADSs, preferred shares, warrants, subscription rights and/or units. We refer to our Class A ordinary shares, preferred shares, warrants, subscription rights and units collectively as “securities” in this prospectus. This prospectus provides a general description of offerings of these securities that we may undertake.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the selling shareholders (if any) named in a prospectus supplement may offer and sell the securities held by them. The selling shareholders (if any) may sell the securities through public or private transactions at prevailing market prices or at privately negotiated prices. We will not receive any proceeds from the sale of securities by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see the section entitled “Plan of Distribution”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is below US$75,000,000. During the 12 calendar months prior to and including the date of this prospectus, we have not offered or sold any securities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Global Market under the symbol “YXT.” On June 26, 2026, the last reported sale price of the ADSs on the Nasdaq Global Market was US$0.37 per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i w:val="false"/>
          <w:caps w:val="false"/>
          <w:smallCaps w:val="false"/>
          <w:sz w:val="20"/>
        </w:rPr>
        <w:t>Investing in our securities involves a high degree of risk. You should carefully consider the risks described under “</w:t>
      </w:r>
      <w:hyperlink w:anchor="pros_021">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starting on page 4 of this prospectus, included in any prospectus supplement or in the documents incorporated by reference into this prospectus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offer or sell any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5090"/>
        <w:gridCol w:w="60"/>
        <w:gridCol w:w="425"/>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5090" w:type="dxa"/>
            <w:tcBorders/>
            <w:shd w:fill="CCEEFF" w:val="clear"/>
            <w:vAlign w:val="center"/>
          </w:tcPr>
          <w:p>
            <w:pPr>
              <w:pStyle w:val="TableContents"/>
              <w:bidi w:val="0"/>
              <w:spacing w:before="0" w:after="283"/>
              <w:jc w:val="left"/>
              <w:rPr/>
            </w:pPr>
            <w:hyperlink w:anchor="pros_018">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18">
              <w:r>
                <w:rPr>
                  <w:rStyle w:val="InternetLink"/>
                  <w:rFonts w:ascii="Times New Roman;Times;Serif" w:hAnsi="Times New Roman;Times;Serif"/>
                  <w:b w:val="false"/>
                  <w:i w:val="false"/>
                  <w:caps w:val="false"/>
                  <w:smallCaps w:val="false"/>
                  <w:sz w:val="20"/>
                </w:rPr>
                <w:t>1</w:t>
              </w:r>
            </w:hyperlink>
          </w:p>
        </w:tc>
      </w:tr>
      <w:tr>
        <w:trPr/>
        <w:tc>
          <w:tcPr>
            <w:tcW w:w="5090" w:type="dxa"/>
            <w:tcBorders/>
            <w:shd w:fill="FFFFFF" w:val="clear"/>
            <w:vAlign w:val="center"/>
          </w:tcPr>
          <w:p>
            <w:pPr>
              <w:pStyle w:val="TableContents"/>
              <w:bidi w:val="0"/>
              <w:spacing w:before="0" w:after="283"/>
              <w:jc w:val="left"/>
              <w:rPr/>
            </w:pPr>
            <w:hyperlink w:anchor="pros_019">
              <w:r>
                <w:rPr>
                  <w:rStyle w:val="InternetLink"/>
                  <w:rFonts w:ascii="Times New Roman;Times;Serif" w:hAnsi="Times New Roman;Times;Serif"/>
                  <w:b w:val="false"/>
                  <w:i w:val="false"/>
                  <w:caps w:val="false"/>
                  <w:smallCaps w:val="false"/>
                  <w:sz w:val="20"/>
                </w:rPr>
                <w:t>FORWARD-LOOKING STATEMENTS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19">
              <w:r>
                <w:rPr>
                  <w:rStyle w:val="InternetLink"/>
                  <w:rFonts w:ascii="Times New Roman;Times;Serif" w:hAnsi="Times New Roman;Times;Serif"/>
                  <w:b w:val="false"/>
                  <w:i w:val="false"/>
                  <w:caps w:val="false"/>
                  <w:smallCaps w:val="false"/>
                  <w:sz w:val="20"/>
                </w:rPr>
                <w:t>2</w:t>
              </w:r>
            </w:hyperlink>
          </w:p>
        </w:tc>
      </w:tr>
      <w:tr>
        <w:trPr/>
        <w:tc>
          <w:tcPr>
            <w:tcW w:w="5090" w:type="dxa"/>
            <w:tcBorders/>
            <w:shd w:fill="CCEEFF" w:val="clear"/>
            <w:vAlign w:val="center"/>
          </w:tcPr>
          <w:p>
            <w:pPr>
              <w:pStyle w:val="TableContents"/>
              <w:bidi w:val="0"/>
              <w:spacing w:before="0" w:after="283"/>
              <w:jc w:val="left"/>
              <w:rPr/>
            </w:pPr>
            <w:hyperlink w:anchor="pros_020">
              <w:r>
                <w:rPr>
                  <w:rStyle w:val="InternetLink"/>
                  <w:rFonts w:ascii="Times New Roman;Times;Serif" w:hAnsi="Times New Roman;Times;Serif"/>
                  <w:b w:val="false"/>
                  <w:i w:val="false"/>
                  <w:caps w:val="false"/>
                  <w:smallCaps w:val="false"/>
                  <w:sz w:val="20"/>
                </w:rPr>
                <w:t>CORPORATE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20">
              <w:r>
                <w:rPr>
                  <w:rStyle w:val="InternetLink"/>
                  <w:rFonts w:ascii="Times New Roman;Times;Serif" w:hAnsi="Times New Roman;Times;Serif"/>
                  <w:b w:val="false"/>
                  <w:i w:val="false"/>
                  <w:caps w:val="false"/>
                  <w:smallCaps w:val="false"/>
                  <w:sz w:val="20"/>
                </w:rPr>
                <w:t>3</w:t>
              </w:r>
            </w:hyperlink>
          </w:p>
        </w:tc>
      </w:tr>
      <w:tr>
        <w:trPr/>
        <w:tc>
          <w:tcPr>
            <w:tcW w:w="5090" w:type="dxa"/>
            <w:tcBorders/>
            <w:shd w:fill="FFFFFF" w:val="clear"/>
            <w:vAlign w:val="center"/>
          </w:tcPr>
          <w:p>
            <w:pPr>
              <w:pStyle w:val="TableContents"/>
              <w:bidi w:val="0"/>
              <w:spacing w:before="0" w:after="283"/>
              <w:jc w:val="left"/>
              <w:rPr/>
            </w:pPr>
            <w:hyperlink w:anchor="pros_021">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21">
              <w:r>
                <w:rPr>
                  <w:rStyle w:val="InternetLink"/>
                  <w:rFonts w:ascii="Times New Roman;Times;Serif" w:hAnsi="Times New Roman;Times;Serif"/>
                  <w:b w:val="false"/>
                  <w:i w:val="false"/>
                  <w:caps w:val="false"/>
                  <w:smallCaps w:val="false"/>
                  <w:sz w:val="20"/>
                </w:rPr>
                <w:t>4</w:t>
              </w:r>
            </w:hyperlink>
          </w:p>
        </w:tc>
      </w:tr>
      <w:tr>
        <w:trPr/>
        <w:tc>
          <w:tcPr>
            <w:tcW w:w="5090" w:type="dxa"/>
            <w:tcBorders/>
            <w:shd w:fill="CCEEFF" w:val="clear"/>
            <w:vAlign w:val="center"/>
          </w:tcPr>
          <w:p>
            <w:pPr>
              <w:pStyle w:val="TableContents"/>
              <w:bidi w:val="0"/>
              <w:spacing w:before="0" w:after="283"/>
              <w:jc w:val="both"/>
              <w:rPr/>
            </w:pPr>
            <w:hyperlink w:anchor="pros_022">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22">
              <w:r>
                <w:rPr>
                  <w:rStyle w:val="InternetLink"/>
                  <w:rFonts w:ascii="Times New Roman;Times;Serif" w:hAnsi="Times New Roman;Times;Serif"/>
                  <w:b w:val="false"/>
                  <w:i w:val="false"/>
                  <w:caps w:val="false"/>
                  <w:smallCaps w:val="false"/>
                  <w:sz w:val="20"/>
                </w:rPr>
                <w:t>5</w:t>
              </w:r>
            </w:hyperlink>
          </w:p>
        </w:tc>
      </w:tr>
      <w:tr>
        <w:trPr/>
        <w:tc>
          <w:tcPr>
            <w:tcW w:w="5090" w:type="dxa"/>
            <w:tcBorders/>
            <w:shd w:fill="FFFFFF" w:val="clear"/>
            <w:vAlign w:val="center"/>
          </w:tcPr>
          <w:p>
            <w:pPr>
              <w:pStyle w:val="TableContents"/>
              <w:bidi w:val="0"/>
              <w:spacing w:before="0" w:after="283"/>
              <w:jc w:val="both"/>
              <w:rPr/>
            </w:pPr>
            <w:hyperlink w:anchor="pros_023">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23">
              <w:r>
                <w:rPr>
                  <w:rStyle w:val="InternetLink"/>
                  <w:rFonts w:ascii="Times New Roman;Times;Serif" w:hAnsi="Times New Roman;Times;Serif"/>
                  <w:b w:val="false"/>
                  <w:i w:val="false"/>
                  <w:caps w:val="false"/>
                  <w:smallCaps w:val="false"/>
                  <w:sz w:val="20"/>
                </w:rPr>
                <w:t>6</w:t>
              </w:r>
            </w:hyperlink>
          </w:p>
        </w:tc>
      </w:tr>
      <w:tr>
        <w:trPr/>
        <w:tc>
          <w:tcPr>
            <w:tcW w:w="5090" w:type="dxa"/>
            <w:tcBorders/>
            <w:shd w:fill="CCEEFF" w:val="clear"/>
            <w:vAlign w:val="center"/>
          </w:tcPr>
          <w:p>
            <w:pPr>
              <w:pStyle w:val="TableContents"/>
              <w:bidi w:val="0"/>
              <w:spacing w:before="0" w:after="283"/>
              <w:jc w:val="both"/>
              <w:rPr/>
            </w:pPr>
            <w:hyperlink w:anchor="pros_024">
              <w:r>
                <w:rPr>
                  <w:rStyle w:val="InternetLink"/>
                  <w:rFonts w:ascii="Times New Roman;Times;Serif" w:hAnsi="Times New Roman;Times;Serif"/>
                  <w:b w:val="false"/>
                  <w:i w:val="false"/>
                  <w:caps w:val="false"/>
                  <w:smallCaps w:val="false"/>
                  <w:sz w:val="20"/>
                </w:rPr>
                <w:t>DESCRIPTION OF AMERICAN DEPOSITARY SHARES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24">
              <w:r>
                <w:rPr>
                  <w:rStyle w:val="InternetLink"/>
                  <w:rFonts w:ascii="Times New Roman;Times;Serif" w:hAnsi="Times New Roman;Times;Serif"/>
                  <w:b w:val="false"/>
                  <w:i w:val="false"/>
                  <w:caps w:val="false"/>
                  <w:smallCaps w:val="false"/>
                  <w:sz w:val="20"/>
                </w:rPr>
                <w:t>16</w:t>
              </w:r>
            </w:hyperlink>
          </w:p>
        </w:tc>
      </w:tr>
      <w:tr>
        <w:trPr/>
        <w:tc>
          <w:tcPr>
            <w:tcW w:w="5090" w:type="dxa"/>
            <w:tcBorders/>
            <w:shd w:fill="FFFFFF" w:val="clear"/>
            <w:vAlign w:val="center"/>
          </w:tcPr>
          <w:p>
            <w:pPr>
              <w:pStyle w:val="TableContents"/>
              <w:bidi w:val="0"/>
              <w:spacing w:before="0" w:after="283"/>
              <w:jc w:val="both"/>
              <w:rPr/>
            </w:pPr>
            <w:hyperlink w:anchor="pros_025">
              <w:r>
                <w:rPr>
                  <w:rStyle w:val="InternetLink"/>
                  <w:rFonts w:ascii="Times New Roman;Times;Serif" w:hAnsi="Times New Roman;Times;Serif"/>
                  <w:b w:val="false"/>
                  <w:i w:val="false"/>
                  <w:caps w:val="false"/>
                  <w:smallCaps w:val="false"/>
                  <w:sz w:val="20"/>
                </w:rPr>
                <w:t>DESCRIPTION OF PREFERRED SHARES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25">
              <w:r>
                <w:rPr>
                  <w:rStyle w:val="InternetLink"/>
                  <w:rFonts w:ascii="Times New Roman;Times;Serif" w:hAnsi="Times New Roman;Times;Serif"/>
                  <w:b w:val="false"/>
                  <w:i w:val="false"/>
                  <w:caps w:val="false"/>
                  <w:smallCaps w:val="false"/>
                  <w:sz w:val="20"/>
                </w:rPr>
                <w:t>25</w:t>
              </w:r>
            </w:hyperlink>
          </w:p>
        </w:tc>
      </w:tr>
      <w:tr>
        <w:trPr/>
        <w:tc>
          <w:tcPr>
            <w:tcW w:w="5090" w:type="dxa"/>
            <w:tcBorders/>
            <w:shd w:fill="CCEEFF" w:val="clear"/>
            <w:vAlign w:val="center"/>
          </w:tcPr>
          <w:p>
            <w:pPr>
              <w:pStyle w:val="TableContents"/>
              <w:bidi w:val="0"/>
              <w:spacing w:before="0" w:after="283"/>
              <w:jc w:val="both"/>
              <w:rPr/>
            </w:pPr>
            <w:hyperlink w:anchor="pros_026">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26">
              <w:r>
                <w:rPr>
                  <w:rStyle w:val="InternetLink"/>
                  <w:rFonts w:ascii="Times New Roman;Times;Serif" w:hAnsi="Times New Roman;Times;Serif"/>
                  <w:b w:val="false"/>
                  <w:i w:val="false"/>
                  <w:caps w:val="false"/>
                  <w:smallCaps w:val="false"/>
                  <w:sz w:val="20"/>
                </w:rPr>
                <w:t>27</w:t>
              </w:r>
            </w:hyperlink>
          </w:p>
        </w:tc>
      </w:tr>
      <w:tr>
        <w:trPr/>
        <w:tc>
          <w:tcPr>
            <w:tcW w:w="5090" w:type="dxa"/>
            <w:tcBorders/>
            <w:shd w:fill="FFFFFF" w:val="clear"/>
            <w:vAlign w:val="center"/>
          </w:tcPr>
          <w:p>
            <w:pPr>
              <w:pStyle w:val="TableContents"/>
              <w:bidi w:val="0"/>
              <w:spacing w:before="0" w:after="283"/>
              <w:jc w:val="left"/>
              <w:rPr/>
            </w:pPr>
            <w:hyperlink w:anchor="pros_027">
              <w:r>
                <w:rPr>
                  <w:rStyle w:val="InternetLink"/>
                  <w:rFonts w:ascii="Times New Roman;Times;Serif" w:hAnsi="Times New Roman;Times;Serif"/>
                  <w:b w:val="false"/>
                  <w:i w:val="false"/>
                  <w:caps w:val="false"/>
                  <w:smallCaps w:val="false"/>
                  <w:sz w:val="20"/>
                </w:rPr>
                <w:t>DESCRIPTION OF SUBSCRIPTION RIGHTS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27">
              <w:r>
                <w:rPr>
                  <w:rStyle w:val="InternetLink"/>
                  <w:rFonts w:ascii="Times New Roman;Times;Serif" w:hAnsi="Times New Roman;Times;Serif"/>
                  <w:b w:val="false"/>
                  <w:i w:val="false"/>
                  <w:caps w:val="false"/>
                  <w:smallCaps w:val="false"/>
                  <w:sz w:val="20"/>
                </w:rPr>
                <w:t>28</w:t>
              </w:r>
            </w:hyperlink>
          </w:p>
        </w:tc>
      </w:tr>
      <w:tr>
        <w:trPr/>
        <w:tc>
          <w:tcPr>
            <w:tcW w:w="5090" w:type="dxa"/>
            <w:tcBorders/>
            <w:shd w:fill="CCEEFF" w:val="clear"/>
            <w:vAlign w:val="center"/>
          </w:tcPr>
          <w:p>
            <w:pPr>
              <w:pStyle w:val="TableContents"/>
              <w:bidi w:val="0"/>
              <w:spacing w:before="0" w:after="283"/>
              <w:jc w:val="both"/>
              <w:rPr/>
            </w:pPr>
            <w:hyperlink w:anchor="pros_028">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28">
              <w:r>
                <w:rPr>
                  <w:rStyle w:val="InternetLink"/>
                  <w:rFonts w:ascii="Times New Roman;Times;Serif" w:hAnsi="Times New Roman;Times;Serif"/>
                  <w:b w:val="false"/>
                  <w:i w:val="false"/>
                  <w:caps w:val="false"/>
                  <w:smallCaps w:val="false"/>
                  <w:sz w:val="20"/>
                </w:rPr>
                <w:t>29</w:t>
              </w:r>
            </w:hyperlink>
          </w:p>
        </w:tc>
      </w:tr>
      <w:tr>
        <w:trPr/>
        <w:tc>
          <w:tcPr>
            <w:tcW w:w="5090" w:type="dxa"/>
            <w:tcBorders/>
            <w:shd w:fill="FFFFFF" w:val="clear"/>
            <w:vAlign w:val="center"/>
          </w:tcPr>
          <w:p>
            <w:pPr>
              <w:pStyle w:val="TableContents"/>
              <w:bidi w:val="0"/>
              <w:spacing w:before="0" w:after="283"/>
              <w:jc w:val="left"/>
              <w:rPr/>
            </w:pPr>
            <w:hyperlink w:anchor="pros_029">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29">
              <w:r>
                <w:rPr>
                  <w:rStyle w:val="InternetLink"/>
                  <w:rFonts w:ascii="Times New Roman;Times;Serif" w:hAnsi="Times New Roman;Times;Serif"/>
                  <w:b w:val="false"/>
                  <w:i w:val="false"/>
                  <w:caps w:val="false"/>
                  <w:smallCaps w:val="false"/>
                  <w:sz w:val="20"/>
                </w:rPr>
                <w:t>30</w:t>
              </w:r>
            </w:hyperlink>
          </w:p>
        </w:tc>
      </w:tr>
      <w:tr>
        <w:trPr/>
        <w:tc>
          <w:tcPr>
            <w:tcW w:w="5090" w:type="dxa"/>
            <w:tcBorders/>
            <w:shd w:fill="CCEEFF" w:val="clear"/>
            <w:vAlign w:val="center"/>
          </w:tcPr>
          <w:p>
            <w:pPr>
              <w:pStyle w:val="TableContents"/>
              <w:bidi w:val="0"/>
              <w:spacing w:before="0" w:after="283"/>
              <w:jc w:val="both"/>
              <w:rPr/>
            </w:pPr>
            <w:hyperlink w:anchor="pros_030">
              <w:r>
                <w:rPr>
                  <w:rStyle w:val="InternetLink"/>
                  <w:rFonts w:ascii="Times New Roman;Times;Serif" w:hAnsi="Times New Roman;Times;Serif"/>
                  <w:b w:val="false"/>
                  <w:i w:val="false"/>
                  <w:caps w:val="false"/>
                  <w:smallCaps w:val="false"/>
                  <w:sz w:val="20"/>
                </w:rPr>
                <w:t>TAXATION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30">
              <w:r>
                <w:rPr>
                  <w:rStyle w:val="InternetLink"/>
                  <w:rFonts w:ascii="Times New Roman;Times;Serif" w:hAnsi="Times New Roman;Times;Serif"/>
                  <w:b w:val="false"/>
                  <w:i w:val="false"/>
                  <w:caps w:val="false"/>
                  <w:smallCaps w:val="false"/>
                  <w:sz w:val="20"/>
                </w:rPr>
                <w:t>32</w:t>
              </w:r>
            </w:hyperlink>
          </w:p>
        </w:tc>
      </w:tr>
      <w:tr>
        <w:trPr/>
        <w:tc>
          <w:tcPr>
            <w:tcW w:w="5090" w:type="dxa"/>
            <w:tcBorders/>
            <w:shd w:fill="FFFFFF" w:val="clear"/>
            <w:vAlign w:val="center"/>
          </w:tcPr>
          <w:p>
            <w:pPr>
              <w:pStyle w:val="TableContents"/>
              <w:bidi w:val="0"/>
              <w:spacing w:before="0" w:after="283"/>
              <w:jc w:val="left"/>
              <w:rPr/>
            </w:pPr>
            <w:hyperlink w:anchor="pros_031">
              <w:r>
                <w:rPr>
                  <w:rStyle w:val="InternetLink"/>
                  <w:rFonts w:ascii="Times New Roman;Times;Serif" w:hAnsi="Times New Roman;Times;Serif"/>
                  <w:b w:val="false"/>
                  <w:i w:val="false"/>
                  <w:caps w:val="false"/>
                  <w:smallCaps w:val="false"/>
                  <w:sz w:val="20"/>
                </w:rPr>
                <w:t>SELLING SHAREHOLDERS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31">
              <w:r>
                <w:rPr>
                  <w:rStyle w:val="InternetLink"/>
                  <w:rFonts w:ascii="Times New Roman;Times;Serif" w:hAnsi="Times New Roman;Times;Serif"/>
                  <w:b w:val="false"/>
                  <w:i w:val="false"/>
                  <w:caps w:val="false"/>
                  <w:smallCaps w:val="false"/>
                  <w:sz w:val="20"/>
                </w:rPr>
                <w:t>33</w:t>
              </w:r>
            </w:hyperlink>
          </w:p>
        </w:tc>
      </w:tr>
      <w:tr>
        <w:trPr/>
        <w:tc>
          <w:tcPr>
            <w:tcW w:w="5090" w:type="dxa"/>
            <w:tcBorders/>
            <w:shd w:fill="CCEEFF" w:val="clear"/>
            <w:vAlign w:val="center"/>
          </w:tcPr>
          <w:p>
            <w:pPr>
              <w:pStyle w:val="TableContents"/>
              <w:bidi w:val="0"/>
              <w:spacing w:before="0" w:after="283"/>
              <w:jc w:val="both"/>
              <w:rPr/>
            </w:pPr>
            <w:hyperlink w:anchor="pros_032">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32">
              <w:r>
                <w:rPr>
                  <w:rStyle w:val="InternetLink"/>
                  <w:rFonts w:ascii="Times New Roman;Times;Serif" w:hAnsi="Times New Roman;Times;Serif"/>
                  <w:b w:val="false"/>
                  <w:i w:val="false"/>
                  <w:caps w:val="false"/>
                  <w:smallCaps w:val="false"/>
                  <w:sz w:val="20"/>
                </w:rPr>
                <w:t>34</w:t>
              </w:r>
            </w:hyperlink>
          </w:p>
        </w:tc>
      </w:tr>
      <w:tr>
        <w:trPr/>
        <w:tc>
          <w:tcPr>
            <w:tcW w:w="5090" w:type="dxa"/>
            <w:tcBorders/>
            <w:shd w:fill="FFFFFF" w:val="clear"/>
            <w:vAlign w:val="center"/>
          </w:tcPr>
          <w:p>
            <w:pPr>
              <w:pStyle w:val="TableContents"/>
              <w:bidi w:val="0"/>
              <w:spacing w:before="0" w:after="283"/>
              <w:jc w:val="left"/>
              <w:rPr/>
            </w:pPr>
            <w:hyperlink w:anchor="pros_033">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33">
              <w:r>
                <w:rPr>
                  <w:rStyle w:val="InternetLink"/>
                  <w:rFonts w:ascii="Times New Roman;Times;Serif" w:hAnsi="Times New Roman;Times;Serif"/>
                  <w:b w:val="false"/>
                  <w:i w:val="false"/>
                  <w:caps w:val="false"/>
                  <w:smallCaps w:val="false"/>
                  <w:sz w:val="20"/>
                </w:rPr>
                <w:t>36</w:t>
              </w:r>
            </w:hyperlink>
          </w:p>
        </w:tc>
      </w:tr>
      <w:tr>
        <w:trPr/>
        <w:tc>
          <w:tcPr>
            <w:tcW w:w="5090" w:type="dxa"/>
            <w:tcBorders/>
            <w:shd w:fill="CCEEFF" w:val="clear"/>
            <w:vAlign w:val="center"/>
          </w:tcPr>
          <w:p>
            <w:pPr>
              <w:pStyle w:val="TableContents"/>
              <w:bidi w:val="0"/>
              <w:spacing w:before="0" w:after="283"/>
              <w:jc w:val="both"/>
              <w:rPr/>
            </w:pPr>
            <w:hyperlink w:anchor="pros_034">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34">
              <w:r>
                <w:rPr>
                  <w:rStyle w:val="InternetLink"/>
                  <w:rFonts w:ascii="Times New Roman;Times;Serif" w:hAnsi="Times New Roman;Times;Serif"/>
                  <w:b w:val="false"/>
                  <w:i w:val="false"/>
                  <w:caps w:val="false"/>
                  <w:smallCaps w:val="false"/>
                  <w:sz w:val="20"/>
                </w:rPr>
                <w:t>37</w:t>
              </w:r>
            </w:hyperlink>
          </w:p>
        </w:tc>
      </w:tr>
      <w:tr>
        <w:trPr/>
        <w:tc>
          <w:tcPr>
            <w:tcW w:w="5090" w:type="dxa"/>
            <w:tcBorders/>
            <w:shd w:fill="FFFFFF" w:val="clear"/>
            <w:vAlign w:val="center"/>
          </w:tcPr>
          <w:p>
            <w:pPr>
              <w:pStyle w:val="TableContents"/>
              <w:bidi w:val="0"/>
              <w:spacing w:before="0" w:after="283"/>
              <w:jc w:val="left"/>
              <w:rPr/>
            </w:pPr>
            <w:hyperlink w:anchor="pros_035">
              <w:r>
                <w:rPr>
                  <w:rStyle w:val="InternetLink"/>
                  <w:rFonts w:ascii="Times New Roman;Times;Serif" w:hAnsi="Times New Roman;Times;Serif"/>
                  <w:b w:val="false"/>
                  <w:i w:val="false"/>
                  <w:caps w:val="false"/>
                  <w:smallCaps w:val="false"/>
                  <w:sz w:val="20"/>
                </w:rPr>
                <w:t>WHERE YOU CAN FIND MORE INFORMATION ABOUT US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35">
              <w:r>
                <w:rPr>
                  <w:rStyle w:val="InternetLink"/>
                  <w:rFonts w:ascii="Times New Roman;Times;Serif" w:hAnsi="Times New Roman;Times;Serif"/>
                  <w:b w:val="false"/>
                  <w:i w:val="false"/>
                  <w:caps w:val="false"/>
                  <w:smallCaps w:val="false"/>
                  <w:sz w:val="20"/>
                </w:rPr>
                <w:t>38</w:t>
              </w:r>
            </w:hyperlink>
          </w:p>
        </w:tc>
      </w:tr>
      <w:tr>
        <w:trPr/>
        <w:tc>
          <w:tcPr>
            <w:tcW w:w="5090" w:type="dxa"/>
            <w:tcBorders/>
            <w:shd w:fill="CCEEFF" w:val="clear"/>
            <w:vAlign w:val="center"/>
          </w:tcPr>
          <w:p>
            <w:pPr>
              <w:pStyle w:val="TableContents"/>
              <w:bidi w:val="0"/>
              <w:spacing w:before="0" w:after="283"/>
              <w:jc w:val="left"/>
              <w:rPr/>
            </w:pPr>
            <w:hyperlink w:anchor="pros_036">
              <w:r>
                <w:rPr>
                  <w:rStyle w:val="InternetLink"/>
                  <w:rFonts w:ascii="Times New Roman;Times;Serif" w:hAnsi="Times New Roman;Times;Serif"/>
                  <w:b w:val="false"/>
                  <w:i w:val="false"/>
                  <w:caps w:val="false"/>
                  <w:smallCaps w:val="false"/>
                  <w:sz w:val="20"/>
                </w:rPr>
                <w:t>INCORPORATION OF DOCUMENTS BY REFERENCE</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pPr>
            <w:hyperlink w:anchor="pros_036">
              <w:r>
                <w:rPr>
                  <w:rStyle w:val="InternetLink"/>
                  <w:rFonts w:ascii="Times New Roman;Times;Serif" w:hAnsi="Times New Roman;Times;Serif"/>
                  <w:b w:val="false"/>
                  <w:i w:val="false"/>
                  <w:caps w:val="false"/>
                  <w:smallCaps w:val="false"/>
                  <w:sz w:val="20"/>
                </w:rPr>
                <w:t>39</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pros_018"/>
      <w:bookmarkEnd w:id="19"/>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shelf registration statement that we filed with the Securities and Exchange Commission, or the SEC. By using a shelf registration statement, we or any selling shareholder may, at any time and from time to time, offer and sell up to an aggregate of US$100,000,000 of the securities described in this prospectus in one or more offerings. We may also add, update or change information contained in this prospectus by means of a prospectus supplement or by incorporating by reference information that we file with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ind w:left="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25"/>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895" w:type="dxa"/>
            <w:tcBorders/>
            <w:vAlign w:val="center"/>
          </w:tcPr>
          <w:p>
            <w:pPr>
              <w:pStyle w:val="TableContents"/>
              <w:bidi w:val="0"/>
              <w:spacing w:before="0" w:after="283"/>
              <w:jc w:val="both"/>
              <w:rPr/>
            </w:pPr>
            <w:r>
              <w:rPr/>
              <w:t>“</w:t>
            </w:r>
            <w:r>
              <w:rPr>
                <w:rFonts w:ascii="Times New Roman;Times;Serif" w:hAnsi="Times New Roman;Times;Serif"/>
                <w:sz w:val="20"/>
              </w:rPr>
              <w:t>ADSs” refers to the American depositary shares, each representing three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t>
            </w:r>
            <w:r>
              <w:rPr>
                <w:rFonts w:ascii="Times New Roman;Times;Serif" w:hAnsi="Times New Roman;Times;Serif"/>
                <w:sz w:val="20"/>
              </w:rPr>
              <w:t>China” or “PRC” refers to the People’s Republic of China, including Hong Kong, Macau and Taiwan, and only when referring to specific laws and regulations adopted by the People’s Republic of China in this prospectus, excludes Hong Kong, Macau and Taiwan, where the legal and operational risks associated with operating in China or PRC also apply to operation in Hong Kong, Macau and Taiwan, as applicable;</w:t>
            </w:r>
          </w:p>
        </w:tc>
      </w:tr>
    </w:tbl>
    <w:p>
      <w:pPr>
        <w:pStyle w:val="TextBody"/>
        <w:bidi w:val="0"/>
        <w:spacing w:before="0" w:after="0"/>
        <w:ind w:left="0" w:right="0" w:hanging="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2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refers to our Class A ordinary shares, par value US$0.0001 per share;</w:t>
            </w:r>
          </w:p>
        </w:tc>
      </w:tr>
    </w:tbl>
    <w:p>
      <w:pPr>
        <w:pStyle w:val="TextBody"/>
        <w:bidi w:val="0"/>
        <w:spacing w:before="0" w:after="0"/>
        <w:ind w:left="0" w:right="0" w:hanging="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2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refers to our Class B ordinary shares, par value US$0.0001 per share;</w:t>
            </w:r>
          </w:p>
        </w:tc>
      </w:tr>
    </w:tbl>
    <w:p>
      <w:pPr>
        <w:pStyle w:val="TextBody"/>
        <w:bidi w:val="0"/>
        <w:spacing w:before="0" w:after="0"/>
        <w:ind w:left="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12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55" w:type="dxa"/>
            <w:tcBorders/>
            <w:vAlign w:val="center"/>
          </w:tcPr>
          <w:p>
            <w:pPr>
              <w:pStyle w:val="TableContents"/>
              <w:bidi w:val="0"/>
              <w:spacing w:before="0" w:after="283"/>
              <w:jc w:val="both"/>
              <w:rPr/>
            </w:pPr>
            <w:r>
              <w:rPr/>
              <w:t>“</w:t>
            </w:r>
            <w:r>
              <w:rPr>
                <w:rFonts w:ascii="Times New Roman;Times;Serif" w:hAnsi="Times New Roman;Times;Serif"/>
                <w:sz w:val="20"/>
              </w:rPr>
              <w:t>Nasdaq” refers to the Nasdaq Global Market;</w:t>
            </w:r>
          </w:p>
        </w:tc>
      </w:tr>
    </w:tbl>
    <w:p>
      <w:pPr>
        <w:pStyle w:val="TextBody"/>
        <w:bidi w:val="0"/>
        <w:spacing w:before="0" w:after="0"/>
        <w:ind w:left="0" w:right="0" w:hanging="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25"/>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965" w:type="dxa"/>
            <w:tcBorders/>
            <w:vAlign w:val="center"/>
          </w:tcPr>
          <w:p>
            <w:pPr>
              <w:pStyle w:val="TableContents"/>
              <w:bidi w:val="0"/>
              <w:spacing w:before="0" w:after="283"/>
              <w:jc w:val="both"/>
              <w:rPr/>
            </w:pPr>
            <w:r>
              <w:rPr/>
              <w:t>“</w:t>
            </w:r>
            <w:r>
              <w:rPr>
                <w:rFonts w:ascii="Times New Roman;Times;Serif" w:hAnsi="Times New Roman;Times;Serif"/>
                <w:sz w:val="20"/>
              </w:rPr>
              <w:t>RMB” or “Renminbi” refers to the legal currency of the People’s Republic of China;</w:t>
            </w:r>
          </w:p>
        </w:tc>
      </w:tr>
    </w:tbl>
    <w:p>
      <w:pPr>
        <w:pStyle w:val="TextBody"/>
        <w:bidi w:val="0"/>
        <w:spacing w:before="0" w:after="0"/>
        <w:ind w:left="0" w:right="0" w:hanging="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25"/>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20" w:type="dxa"/>
            <w:tcBorders/>
            <w:vAlign w:val="center"/>
          </w:tcPr>
          <w:p>
            <w:pPr>
              <w:pStyle w:val="TableContents"/>
              <w:bidi w:val="0"/>
              <w:spacing w:before="0" w:after="283"/>
              <w:jc w:val="both"/>
              <w:rPr/>
            </w:pPr>
            <w:r>
              <w:rPr/>
              <w:t>“</w:t>
            </w:r>
            <w:r>
              <w:rPr>
                <w:rFonts w:ascii="Times New Roman;Times;Serif" w:hAnsi="Times New Roman;Times;Serif"/>
                <w:sz w:val="20"/>
              </w:rPr>
              <w:t>ordinary share” or “shares” refers to our ordinary shares, par value US$0.0001 per share;</w:t>
            </w:r>
          </w:p>
        </w:tc>
      </w:tr>
    </w:tbl>
    <w:p>
      <w:pPr>
        <w:pStyle w:val="TextBody"/>
        <w:bidi w:val="0"/>
        <w:spacing w:before="0" w:after="0"/>
        <w:ind w:left="0" w:right="0" w:hanging="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125"/>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650" w:type="dxa"/>
            <w:tcBorders/>
            <w:vAlign w:val="center"/>
          </w:tcPr>
          <w:p>
            <w:pPr>
              <w:pStyle w:val="TableContents"/>
              <w:bidi w:val="0"/>
              <w:spacing w:before="0" w:after="283"/>
              <w:jc w:val="both"/>
              <w:rPr/>
            </w:pPr>
            <w:r>
              <w:rPr/>
              <w:t>“</w:t>
            </w:r>
            <w:r>
              <w:rPr>
                <w:rFonts w:ascii="Times New Roman;Times;Serif" w:hAnsi="Times New Roman;Times;Serif"/>
                <w:sz w:val="20"/>
              </w:rPr>
              <w:t>US$,” “dollars” or “U.S. dollars” refers to the legal currency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pros_019"/>
      <w:bookmarkEnd w:id="20"/>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may contain forward-looking statements that reflect our current or then-current expectations and views of future events. Many of the forward-looking statements contained in this prospectus can be identified by the use of forward-looking words such as “anticipate,” “believe,” “could,” “expect,” “should,” “plan,” “intend,” “estimate” and “potential,”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that appear in in this prospectus, any accompanying prospectus supplement and the documents incorporated by reference may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pStyle w:val="TextBody"/>
        <w:bidi w:val="0"/>
        <w:spacing w:before="0" w:after="0"/>
        <w:ind w:left="0" w:right="0" w:hanging="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25"/>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political, demographic and business conditions in China and globally;</w:t>
            </w:r>
          </w:p>
        </w:tc>
      </w:tr>
    </w:tbl>
    <w:p>
      <w:pPr>
        <w:pStyle w:val="TextBody"/>
        <w:bidi w:val="0"/>
        <w:spacing w:before="0" w:after="0"/>
        <w:ind w:left="0" w:right="0" w:hanging="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125"/>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implement our growth strategy;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operating initiatives, including advertising and promotional efforts and new solution development by us and our competitors</w:t>
            </w:r>
          </w:p>
        </w:tc>
      </w:tr>
    </w:tbl>
    <w:p>
      <w:pPr>
        <w:pStyle w:val="TextBody"/>
        <w:bidi w:val="0"/>
        <w:spacing w:before="0" w:after="0"/>
        <w:ind w:left="0" w:right="0" w:hanging="0"/>
        <w:jc w:val="both"/>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25"/>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and apply our technologies to support and expand our solution offerings;</w:t>
            </w:r>
          </w:p>
        </w:tc>
      </w:tr>
    </w:tbl>
    <w:p>
      <w:pPr>
        <w:pStyle w:val="TextBody"/>
        <w:bidi w:val="0"/>
        <w:spacing w:before="0" w:after="0"/>
        <w:ind w:left="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25"/>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growth of the digital corporate learning industry in China;</w:t>
            </w:r>
          </w:p>
        </w:tc>
      </w:tr>
    </w:tbl>
    <w:p>
      <w:pPr>
        <w:pStyle w:val="TextBody"/>
        <w:bidi w:val="0"/>
        <w:spacing w:before="0" w:after="0"/>
        <w:ind w:left="0" w:right="0" w:hanging="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25"/>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in the digital corporate learning industry in China;</w:t>
            </w:r>
          </w:p>
        </w:tc>
      </w:tr>
    </w:tbl>
    <w:p>
      <w:pPr>
        <w:pStyle w:val="TextBody"/>
        <w:bidi w:val="0"/>
        <w:spacing w:before="0" w:after="0"/>
        <w:ind w:left="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25"/>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government policies and regulation;</w:t>
            </w:r>
          </w:p>
        </w:tc>
      </w:tr>
    </w:tbl>
    <w:p>
      <w:pPr>
        <w:pStyle w:val="TextBody"/>
        <w:bidi w:val="0"/>
        <w:spacing w:before="0" w:after="0"/>
        <w:ind w:left="0" w:right="0" w:hanging="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125"/>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that may affect our financial condition, liquidity and results of operations; and</w:t>
            </w:r>
          </w:p>
        </w:tc>
      </w:tr>
    </w:tbl>
    <w:p>
      <w:pPr>
        <w:pStyle w:val="TextBody"/>
        <w:bidi w:val="0"/>
        <w:spacing w:before="0" w:after="0"/>
        <w:ind w:left="0" w:right="0" w:hanging="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2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 factors discussed under “Risk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you should not regard these statements as representations or warranties by us or any other person that we will achieve our objectives and plans in any specified time frame, or at all.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accompanying prospectus supplement and the documents incorporated by reference,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pros_020"/>
      <w:bookmarkEnd w:id="21"/>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Room 501-502, No. 78 East Jinshan Road Huqiu District, Suzhou Jiangsu, 215011, People’s Republic of China. Our telephone number at this address is +86 (512) 6689 9881. Our registered office in the Cayman Islands is located at Walkers Corporate Limited, 190 Elgin Avenue, George Town, Grand Cayman KY1-9008, Cayman Islands. Our agent for service of process in the United States is Cogency Global Inc. located at 122 East 42nd Street, 18th Floor, New York, NY 10168.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proxy and information statements, and other information regarding registrants that make electronic filings with the SEC using its EDGAR system. Investors should contact us for any inquiries through the address and telephone number of our principal executive office. Our principal website is www.yxt.com. The information contained on our website is not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pros_021"/>
      <w:bookmarkEnd w:id="22"/>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Please see the factors set forth under “Item 3. Key Information-Item 3.D. Risk Factors” in our </w:t>
      </w:r>
      <w:hyperlink r:id="rId7">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which is incorporated by reference in this prospectus, as updated by our subsequent filings under the Exchange Act, and in any accompanying prospectus supplement before investing in any securities that may be offered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and uncertainties described in this prospectus, any applicable prospectus supplement or other offering materials as well as the documents incorporated by reference herein are not the only ones we face. Additional risks and uncertainties that we do not presently know about or that we currently believe are not material may also adversely affect our business. If any of the risks and uncertainties described in this prospectus, any applicable prospectus supplement or other offering materials as well as the documents incorporated by reference herein actually occur, our business, financial condition and results of operations could be adversely affected in a material way. The occurrence of any of these risks may cause you to lose all or part of your investment in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pros_022"/>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we offer as set forth in the applicable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allocations of the proceeds we receive from the sale of our securities will be described in the applicable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pros_023"/>
      <w:bookmarkEnd w:id="24"/>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our affairs are governed by our memorandum and articles of association, as amended and restated from time to time, Companies Act (as amended) of the Cayman Islands, which we refer to as the “Companies Act” below, and the common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share capital is US$50,000 divided into (a) 483,068,176 Class A ordinary shares with a par value of US$0.0001 each, and (b) 16,931,824 Class B ordinary shares with a par value of US$0.0001 each. All incentive share awards, including options, regardless of grant dates, will entitle holders to an equivalent number of ordinary shares once the applicable vesting and exercising conditions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currently effective eighth amended and restated memorandum and articles of association and the Companies Act insofar as they relate to the material terms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Our authorized share capital is US$50,000 divided into (a) 483,068,176 Class A ordinary shares with a par value of US$0.0001 each, and (b) 16,931,824 Class B ordinary shares with a par value of US$0.0001 each. Holders of ordinary shares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our ordinary shares are entitled to such dividends as may be declared by our board of directors subject to our eighth amended and restated memorandum and articles of association and the Companies Act. In addition, our shareholders may by ordinary resolution declare a dividend, but no dividend may exceed the amount recommended by our directors. Our eighth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Classes of Ordinary Shares.</w:t>
      </w:r>
      <w:r>
        <w:rPr>
          <w:rFonts w:ascii="Times New Roman;Times;Serif" w:hAnsi="Times New Roman;Times;Serif"/>
          <w:b w:val="false"/>
          <w:i w:val="false"/>
          <w:caps w:val="false"/>
          <w:smallCaps w:val="false"/>
          <w:sz w:val="20"/>
        </w:rPr>
        <w:t xml:space="preserve"> Our ordinary shares are divided into Class A ordinary shares and Class B ordinary shares. Except for conversion rights and voting rights, the Class A ordinary shares and Class B ordinary shares shall carry equal rights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one another, including but not limited to the rights to dividends and other capital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Rights.</w:t>
      </w:r>
      <w:r>
        <w:rPr>
          <w:rFonts w:ascii="Times New Roman;Times;Serif" w:hAnsi="Times New Roman;Times;Serif"/>
          <w:b w:val="false"/>
          <w:i w:val="false"/>
          <w:caps w:val="false"/>
          <w:smallCaps w:val="false"/>
          <w:sz w:val="20"/>
        </w:rPr>
        <w:t xml:space="preserve"> A Class B ordinary share is convertible into one Class A ordinary share at any time by the holder thereof, while Class A ordinary shares are not convertible into Class B ordinary shares under any circumstances.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In respect of all matters subject to a shareholders’ vote, holders of Class A ordinary shares and Class B ordinary shares shall, at all times, vote together as one class on all matters submitted to a vote by the members at any such general meeting. Each Class A ordinary share shall be entitled to one vote, and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 shall be entitled to twenty votes, on all matters subject to the vote at general meetings of our company. Voting at any meeting of shareholders is by show of hands unless a poll is demanded. A poll may be demanded by the chairman of such meeting or any one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two or more shareholders holding not less than one-half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eighth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corporate governance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our eighth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reducing share capital and any capital redemption reserve or making changes to our eighth amended and restated memorandum and articles of association. </w:t>
      </w: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xml:space="preserve"> Subject to the restrictions in our eighth amended and restated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0" w:right="0" w:hanging="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25"/>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bl>
    <w:p>
      <w:pPr>
        <w:pStyle w:val="TextBody"/>
        <w:bidi w:val="0"/>
        <w:spacing w:before="0" w:after="0"/>
        <w:ind w:left="0" w:right="0" w:hanging="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25"/>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w:t>
            </w:r>
          </w:p>
        </w:tc>
      </w:tr>
    </w:tbl>
    <w:p>
      <w:pPr>
        <w:pStyle w:val="TextBody"/>
        <w:bidi w:val="0"/>
        <w:spacing w:before="0" w:after="0"/>
        <w:ind w:left="0" w:right="0" w:hanging="0"/>
        <w:jc w:val="both"/>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2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are free from any lien in favor of our company;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the Nasdaq may determine to be payable or such lesser sum as our directors may from time to time require is paid to us in respect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registration of transfers shall not be suspended nor the register closed for more than 30 days in any year as our board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xml:space="preserve"> On a return of capital on winding up or otherwise (other than on conversion, redemption 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Ordinary Shares and Forfeiture of Ordinary Shares.</w:t>
      </w:r>
      <w:r>
        <w:rPr>
          <w:rFonts w:ascii="Times New Roman;Times;Serif" w:hAnsi="Times New Roman;Times;Serif"/>
          <w:b w:val="false"/>
          <w:i w:val="false"/>
          <w:caps w:val="false"/>
          <w:smallCaps w:val="false"/>
          <w:sz w:val="20"/>
        </w:rPr>
        <w:t xml:space="preserve"> 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Ordinary Shares.</w:t>
      </w:r>
      <w:r>
        <w:rPr>
          <w:rFonts w:ascii="Times New Roman;Times;Serif" w:hAnsi="Times New Roman;Times;Serif"/>
          <w:b w:val="false"/>
          <w:i w:val="false"/>
          <w:caps w:val="false"/>
          <w:smallCaps w:val="false"/>
          <w:sz w:val="20"/>
        </w:rPr>
        <w:t xml:space="preserve"> 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eighth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Variations of Rights of Shares. </w:t>
      </w:r>
      <w:r>
        <w:rPr>
          <w:rFonts w:ascii="Times New Roman;Times;Serif" w:hAnsi="Times New Roman;Times;Serif"/>
          <w:b w:val="false"/>
          <w:i w:val="false"/>
          <w:caps w:val="false"/>
          <w:smallCaps w:val="false"/>
          <w:sz w:val="20"/>
        </w:rPr>
        <w:t>If at any time our share capital is divided into different classes or series of shares, the rights attached to any class or series of shares (unless otherwise provided by the terms of issue of the shares of that class or series), whether or not our company is being wound- 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xml:space="preserve"> Holders of our ordinary shares have no general right under Cayman Islands law to inspect or obtain copies of our list of shareholders or our corporate records. However, we will provide our shareholders with annual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Our eighth amended and restated memorandum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eighth amended and restated memorandum of association also authorizes our board of directors to establish from time to time one or more series of preferred shares and to determine, with respect to any series of preferred shares, the terms and rights of that series, including: </w:t>
      </w:r>
    </w:p>
    <w:p>
      <w:pPr>
        <w:pStyle w:val="TextBody"/>
        <w:bidi w:val="0"/>
        <w:spacing w:before="0" w:after="0"/>
        <w:ind w:left="0"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125"/>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2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25"/>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dividend rates, conversion rights, voting rights; and</w:t>
            </w:r>
          </w:p>
        </w:tc>
      </w:tr>
    </w:tbl>
    <w:p>
      <w:pPr>
        <w:pStyle w:val="TextBody"/>
        <w:bidi w:val="0"/>
        <w:spacing w:before="0" w:after="0"/>
        <w:ind w:left="0" w:right="0" w:hanging="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2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Anti-Takeover Provisions. </w:t>
      </w:r>
      <w:r>
        <w:rPr>
          <w:rFonts w:ascii="Times New Roman;Times;Serif" w:hAnsi="Times New Roman;Times;Serif"/>
          <w:b w:val="false"/>
          <w:i w:val="false"/>
          <w:caps w:val="false"/>
          <w:smallCaps w:val="false"/>
          <w:sz w:val="20"/>
        </w:rPr>
        <w:t>Some provisions of our eighth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must keep a register of members and there should be entered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our members, a statement of the shares held by each member, and of the amount paid or agreed to be considered as paid, on the shares of each member, confirm the number and category of shares held by each member, and confirm whether each relevant category of shares held by a member carries voting rights under the articles of association of the company, and if so, whether such voting rights are conditional;</w:t>
            </w:r>
          </w:p>
        </w:tc>
      </w:tr>
    </w:tbl>
    <w:p>
      <w:pPr>
        <w:pStyle w:val="TextBody"/>
        <w:bidi w:val="0"/>
        <w:spacing w:before="0" w:after="0"/>
        <w:ind w:left="0" w:right="0" w:hanging="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25"/>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member; and</w:t>
            </w:r>
          </w:p>
        </w:tc>
      </w:tr>
    </w:tbl>
    <w:p>
      <w:pPr>
        <w:pStyle w:val="TextBody"/>
        <w:bidi w:val="0"/>
        <w:spacing w:before="0" w:after="0"/>
        <w:ind w:left="0" w:right="0" w:hanging="0"/>
        <w:jc w:val="both"/>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25"/>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in the case of creditors or a class of creditors, the arrangement is approved by a majority in number of each class of creditors with whom the arrangement is to be made, and who must in addition represent three-fourths in value of each such class of creditors that are present and voting either in person or by proxy at a meeting, or meetings, convened for the purpose. In the case of shareholders or a class of shareholders, the arrangement must be approved by three-fourths in value of the shareholders or class of shareholders, as the case may be, present and voting either in person or by proxy at the meeting.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hanging="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25"/>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p>
      <w:pPr>
        <w:pStyle w:val="TextBody"/>
        <w:bidi w:val="0"/>
        <w:spacing w:before="0" w:after="0"/>
        <w:ind w:left="0" w:right="0" w:hanging="0"/>
        <w:jc w:val="both"/>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125"/>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dissenting minority shareholder upon a tender offer. When a tender offer is made and accepted by holders of 90.0% of the shares affected,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which permit a minority shareholder to commence a class action against or derivative actions in the name of the company to challenge actions where: </w:t>
      </w:r>
    </w:p>
    <w:p>
      <w:pPr>
        <w:pStyle w:val="TextBody"/>
        <w:bidi w:val="0"/>
        <w:spacing w:before="0" w:after="0"/>
        <w:ind w:left="0" w:right="0" w:hanging="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25"/>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a simple majority vote that has not been obtained; and</w:t>
            </w:r>
          </w:p>
        </w:tc>
      </w:tr>
    </w:tbl>
    <w:p>
      <w:pPr>
        <w:pStyle w:val="TextBody"/>
        <w:bidi w:val="0"/>
        <w:spacing w:before="0" w:after="0"/>
        <w:ind w:left="0" w:right="0" w:hanging="0"/>
        <w:jc w:val="both"/>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125"/>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eighth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eighth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 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Consent.</w:t>
      </w:r>
      <w:r>
        <w:rPr>
          <w:rFonts w:ascii="Times New Roman;Times;Serif" w:hAnsi="Times New Roman;Times;Serif"/>
          <w:b w:val="false"/>
          <w:i w:val="false"/>
          <w:caps w:val="false"/>
          <w:smallCaps w:val="false"/>
          <w:sz w:val="20"/>
        </w:rPr>
        <w:t xml:space="preserve"> Under the Delaware General Corporation Law, a corporation may eliminate the right of shareholders to act by written consent by amendment to its certificate of incorporation. The Companies Act and our eighth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 shareholders with only limited rights to requisition a general meeting, and does not provide shareholders with any right to put any proposal before a general meeting. However, these rights may be provided in a company’s articles of association. Our eighth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eighth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eighth amended and restated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eighth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dies or is found to be or becomes of unsound mind; (iii) resigns his office by notice in writing to our company; (iv) is prohibited by any applicable law or designated stock exchange rules from being a director; (v) without special leave of absence from the board, is absent from meetings of the board for three consecutive meetings and the board resolves that his office be vacated; or (vi) is removed from office pursuant to any other provision of our eighth amended and restated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Dissolution; Winding up. </w:t>
      </w: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eighth amended and restated articles of association, our company may be dissolved, liquidated or wound up by a special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 of Rights of Shares.</w:t>
      </w:r>
      <w:r>
        <w:rPr>
          <w:rFonts w:ascii="Times New Roman;Times;Serif" w:hAnsi="Times New Roman;Times;Serif"/>
          <w:b w:val="false"/>
          <w:i w:val="false"/>
          <w:caps w:val="false"/>
          <w:smallCaps w:val="false"/>
          <w:sz w:val="20"/>
        </w:rPr>
        <w:t xml:space="preserve"> Under the Delaware General Corporation Law, a corporation may vary the rights of a class of shares with the approval of a majority of the outstanding shares of such class, unless the certificate of incorporation provides otherwise. Under Cayman Islands law and our eighth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xml:space="preserve"> Under the Delaware General Corporation Law, a corporation’s governing documents may be amended with the approval of a majority of the outstanding shares entitled to vote, unless the certificate of incorporation provides otherwise. Under the Companies Act and our eighth amended and restated memorandum and articles of association, our memorandum and articles of association may only be amended by a special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our eighth amended and restated memorandum and articles of association on the rights of nonresident or foreign shareholders to hold or exercise voting rights on our shares. In addition, there are no provisions in our eighth amended and restated memorandum and articles of association governing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Securities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securities issuances 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we completed an initial public offering in which we offered and sold an aggregate of 6,819,000 Class A ordinary shares in the form of ADSs. On August 16, 2024, the ADSs commenced trading on Nasdaq under the symbol “YXT.”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Award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We have granted awards to certain of our executive officers and employees. See “Item 6. Directors, Senior Management and Employees-6.B. Compensation-Share Incentive Plan” in our </w:t>
      </w:r>
      <w:hyperlink r:id="rId8">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which is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current shareholders agreement, we have granted certain registration rights to our shareholders, provided that no shareholder shall be entitled to exercise any such registration right after the earlier of (i) three years following the consummation of a qualified IPO; or (ii) with respect to any holder, the date on which such holder may sell all of such holder’s registrable securities under Rule 144 of the Securities Act in any ninety-day period. Set forth below is a description of the registration rights granted under the current shareholders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commencing six months after the closing of this offering, holders of at least 10% of the registrable securities then outstanding have the right to demand that we file a registration statement covering the registration of such registrable securities. We are not obligated to effect any such registration if we have, within the six-month period preceding the date of such request, already effected a registration under the Securities Act pursuant to demand registration right or Form F-3 registration right or piggyback registration right in which the holders had an opportunity to participate, other than a registration from which the registrable securities of the holders have been excluded (with respect to all or any portion of the registrable securities the holders requested be included in such registration). Further, we are not obligated to effect more than three such demand registrations that have been declared and ordered effective, except that (i) if the sale of all of the registrable securities sought to be included is not consummated for any reason other than due to the action or inaction of the holders including registrable securities in such registration, such registration shall not be deemed to constitute one of the registration rights; and (ii) the piggyback registrations and Form F-3 registrations described below shall not be deemed to constitute one of the demand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underwritten offering therein, we are not required to register the registrable securities of a holder unless such holder’s registrable securities are included in the underwriting and such holder enters into an underwriting agreement in customary form with the managing underwriter(s) selected by the holders of a majority of the registrable securities being registered and reasonably acceptable to us. The underwriters of any underwritten offering may exclude up to 75% of the number of registrable securities from being included in the applicable registration statement if the managing underwriter(s) determine(s) in good faith that marketing factors require a limitation of the number of shares to be underwritten, provided that all other securities are first entirely excluded from the underwriting and registration. The number of registrable securities that may be included in the underwriting shall be reduced as required by the underwriter(s) and allocated among the holders of registrable securities on a pro rata basis according to the number of registrable securities then outstanding held by each holder requesting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the right to defer filing of a registration statement for up to 90 days if our board determines in good faith judgment that the filing of a registration statement would be materially detrimental to us and our shareholders, provided that within any 12-month period, we do not exercise this right and during such 90 days, we do not file any registration statement pertaining to the public offering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Piggyback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propose to file a registration statement for a public offering of our securities (including, but not limited to, registration statements relating to secondary offerings of our securities, but excluding registration statements relating to any employee benefit plan or a corporate reorganization), we must offer holders of our registrable securities an opportunity to include all or any part of their securities in this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underwritten offering therein, we are not required to register the registrable securities of a holder, unless such holder’s registrable securities are included in the underwriting and such holder enters into an underwriting agreement in customary form with the managing underwriter(s) selected for such underwriting. The underwriters of any underwritten offering may exclude up to 75% of the number of registrable securities from being included in the applicable registration statement if the managing underwriter(s) determine(s) in good faith that marketing factors require a limitation of the number of shares to be underwritten. The number of shares that may be included in the registration and the underwriting shall be allocated, first, to us, second, to each of the holders requesting inclusion of their registrable securities in such registration statement on a pro rata basis based on the total number of shares of registrable securities then held by each such holder, and third, to holders of other securities of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limit on the number of times the holders may request registration of registrable securities pursuant to such piggyback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F-3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we receive from any holders of registrable securities then outstanding written requests that we effect a registration on Form F-3, as the case may be, we shall, subject to certain limitations, file a registration statement on Form F-3 covering the registrable securities and other securities so requested to be registered as soon as practicable after receipt of the request or requests of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 of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registration expenses incurred in connection with any demand, piggyback or F-3 registration,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pros_024"/>
      <w:bookmarkEnd w:id="25"/>
      <w:r>
        <w:rPr>
          <w:rFonts w:ascii="Times New Roman;Times;Serif" w:hAnsi="Times New Roman;Times;Serif"/>
          <w:b/>
          <w:i w:val="false"/>
          <w:caps w:val="false"/>
          <w:smallCaps w:val="false"/>
          <w:sz w:val="20"/>
        </w:rPr>
        <w:t>DESCRIPTION OF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depositary, registers and delivers American Depositary Shares, also referred to as ADSs. Each ADS represents three shares (or a right to receive three shares) deposited with The Hongkong and Shanghai Banking Corporation, as custodian for the depositary in Hong Kong.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uncertificated ADSs will receive statements from the depositary confirming their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 About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will you receive dividends and other distributions on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Cash.</w:t>
      </w:r>
      <w:r>
        <w:rPr>
          <w:rFonts w:ascii="Times New Roman;Times;Serif" w:hAnsi="Times New Roman;Times;Serif"/>
          <w:b w:val="false"/>
          <w:i w:val="false"/>
          <w:caps w:val="false"/>
          <w:smallCaps w:val="false"/>
          <w:sz w:val="20"/>
        </w:rPr>
        <w:t xml:space="preserve">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xml:space="preserve"> 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to purchase additional shares.</w:t>
      </w:r>
      <w:r>
        <w:rPr>
          <w:rFonts w:ascii="Times New Roman;Times;Serif" w:hAnsi="Times New Roman;Times;Serif"/>
          <w:b w:val="false"/>
          <w:i w:val="false"/>
          <w:caps w:val="false"/>
          <w:smallCaps w:val="false"/>
          <w:sz w:val="20"/>
        </w:rPr>
        <w:t xml:space="preserve"> If we offer holders of our securities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Distributions.</w:t>
      </w:r>
      <w:r>
        <w:rPr>
          <w:rFonts w:ascii="Times New Roman;Times;Serif" w:hAnsi="Times New Roman;Times;Serif"/>
          <w:b w:val="false"/>
          <w:i w:val="false"/>
          <w:caps w:val="false"/>
          <w:smallCaps w:val="false"/>
          <w:sz w:val="20"/>
        </w:rPr>
        <w:t xml:space="preserve">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are ADSs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can ADS holders withdraw the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ADS holders interchange between certificated ADSs and uncertificated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you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Except by instructing the depositary as described above, you will not be able to exercise voting rights unless you surrender your ADSs and withdraw the shares. However, you may not know about the meeting enough in advance to withdraw the shares. </w:t>
      </w:r>
      <w:r>
        <w:rPr>
          <w:rFonts w:ascii="Times New Roman;Times;Serif" w:hAnsi="Times New Roman;Times;Serif"/>
          <w:b w:val="false"/>
          <w:i w:val="false"/>
          <w:caps w:val="false"/>
          <w:smallCaps w:val="false"/>
          <w:sz w:val="20"/>
        </w:rPr>
        <w:t>In any event, the depositary will not exercise any discretion in voting deposited securities and it will only vote or attempt to vote as instructed.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w:t>
      </w:r>
      <w:r>
        <w:rPr>
          <w:rFonts w:ascii="Times New Roman;Times;Serif" w:hAnsi="Times New Roman;Times;Serif"/>
          <w:b w:val="false"/>
          <w:i/>
          <w:caps w:val="false"/>
          <w:smallCaps w:val="false"/>
          <w:sz w:val="20"/>
        </w:rPr>
        <w:t>This means that you may not be able to exercise voting rights and there may be nothing you can do if the shares represented by your ADSs are not voted as you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5"/>
        <w:gridCol w:w="5067"/>
        <w:gridCol w:w="60"/>
        <w:gridCol w:w="110"/>
        <w:gridCol w:w="4843"/>
      </w:tblGrid>
      <w:tr>
        <w:trPr/>
        <w:tc>
          <w:tcPr>
            <w:tcW w:w="51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Persons depositing or withdrawing shares or ADS</w:t>
              <w:br/>
              <w:t>holders must pay: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3" w:type="dxa"/>
            <w:gridSpan w:val="2"/>
            <w:tcBorders/>
            <w:tcMar>
              <w:bottom w:w="0" w:type="dxa"/>
            </w:tcMar>
            <w:vAlign w:val="center"/>
          </w:tcPr>
          <w:p>
            <w:pPr>
              <w:pStyle w:val="TableContents"/>
              <w:bidi w:val="0"/>
              <w:spacing w:before="0" w:after="283"/>
              <w:jc w:val="left"/>
              <w:rPr/>
            </w:pPr>
            <w:r>
              <w:rPr/>
              <w:t> </w:t>
            </w:r>
          </w:p>
        </w:tc>
      </w:tr>
      <w:tr>
        <w:trPr/>
        <w:tc>
          <w:tcPr>
            <w:tcW w:w="125" w:type="dxa"/>
            <w:tcBorders/>
            <w:tcMar>
              <w:bottom w:w="0" w:type="dxa"/>
            </w:tcM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6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US$5.00 (or less) per 100 ADSs (or portion of 100 ADSs)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84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3" w:type="dxa"/>
            <w:gridSpan w:val="2"/>
            <w:tcBorders/>
            <w:tcMar>
              <w:bottom w:w="0" w:type="dxa"/>
            </w:tcMar>
            <w:vAlign w:val="center"/>
          </w:tcPr>
          <w:p>
            <w:pPr>
              <w:pStyle w:val="TableContents"/>
              <w:bidi w:val="0"/>
              <w:spacing w:before="0" w:after="283"/>
              <w:jc w:val="left"/>
              <w:rPr/>
            </w:pPr>
            <w:r>
              <w:rPr/>
              <w:t> </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84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for the purpose of withdrawal, including if the deposit agreement terminates</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3" w:type="dxa"/>
            <w:gridSpan w:val="2"/>
            <w:tcBorders/>
            <w:tcMar>
              <w:bottom w:w="0" w:type="dxa"/>
            </w:tcMar>
            <w:vAlign w:val="center"/>
          </w:tcPr>
          <w:p>
            <w:pPr>
              <w:pStyle w:val="TableContents"/>
              <w:bidi w:val="0"/>
              <w:spacing w:before="0" w:after="283"/>
              <w:jc w:val="left"/>
              <w:rPr/>
            </w:pPr>
            <w:r>
              <w:rPr/>
              <w:t> </w:t>
            </w:r>
          </w:p>
        </w:tc>
      </w:tr>
      <w:tr>
        <w:trPr/>
        <w:tc>
          <w:tcPr>
            <w:tcW w:w="125" w:type="dxa"/>
            <w:tcBorders/>
            <w:tcMar>
              <w:bottom w:w="0" w:type="dxa"/>
            </w:tcM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6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US$0.05 (or less) per ADS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84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 to ADS holders</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3" w:type="dxa"/>
            <w:gridSpan w:val="2"/>
            <w:tcBorders/>
            <w:tcMar>
              <w:bottom w:w="0" w:type="dxa"/>
            </w:tcMar>
            <w:vAlign w:val="center"/>
          </w:tcPr>
          <w:p>
            <w:pPr>
              <w:pStyle w:val="TableContents"/>
              <w:bidi w:val="0"/>
              <w:spacing w:before="0" w:after="283"/>
              <w:jc w:val="left"/>
              <w:rPr/>
            </w:pPr>
            <w:r>
              <w:rPr/>
              <w:t> </w:t>
            </w:r>
          </w:p>
        </w:tc>
      </w:tr>
      <w:tr>
        <w:trPr/>
        <w:tc>
          <w:tcPr>
            <w:tcW w:w="125" w:type="dxa"/>
            <w:tcBorders/>
            <w:tcMar>
              <w:bottom w:w="0" w:type="dxa"/>
            </w:tcM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6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equivalent to the fee that would be payable if securities distributed to you had been shares and the shares had been deposited for issuance of ADSs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84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distributed to holders of deposited securities (including rights) that are distributed by the depositary to ADS holders</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3" w:type="dxa"/>
            <w:gridSpan w:val="2"/>
            <w:tcBorders/>
            <w:tcMar>
              <w:bottom w:w="0" w:type="dxa"/>
            </w:tcMar>
            <w:vAlign w:val="center"/>
          </w:tcPr>
          <w:p>
            <w:pPr>
              <w:pStyle w:val="TableContents"/>
              <w:bidi w:val="0"/>
              <w:spacing w:before="0" w:after="283"/>
              <w:jc w:val="left"/>
              <w:rPr/>
            </w:pPr>
            <w:r>
              <w:rPr/>
              <w:t> </w:t>
            </w:r>
          </w:p>
        </w:tc>
      </w:tr>
      <w:tr>
        <w:trPr/>
        <w:tc>
          <w:tcPr>
            <w:tcW w:w="125" w:type="dxa"/>
            <w:tcBorders/>
            <w:tcMar>
              <w:bottom w:w="0" w:type="dxa"/>
            </w:tcM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6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US$0.05 (or less) per ADS per calendar 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84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6"/>
        <w:gridCol w:w="4652"/>
        <w:gridCol w:w="60"/>
        <w:gridCol w:w="110"/>
        <w:gridCol w:w="5247"/>
      </w:tblGrid>
      <w:tr>
        <w:trPr/>
        <w:tc>
          <w:tcPr>
            <w:tcW w:w="478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Persons depositing or withdrawing shares or ADS</w:t>
              <w:br/>
              <w:t>holders must pay: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5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7" w:type="dxa"/>
            <w:gridSpan w:val="2"/>
            <w:tcBorders/>
            <w:tcMar>
              <w:bottom w:w="0" w:type="dxa"/>
            </w:tcMar>
            <w:vAlign w:val="center"/>
          </w:tcPr>
          <w:p>
            <w:pPr>
              <w:pStyle w:val="TableContents"/>
              <w:bidi w:val="0"/>
              <w:spacing w:before="0" w:after="283"/>
              <w:jc w:val="left"/>
              <w:rPr/>
            </w:pPr>
            <w:r>
              <w:rPr/>
              <w:t> </w:t>
            </w:r>
          </w:p>
        </w:tc>
      </w:tr>
      <w:tr>
        <w:trPr/>
        <w:tc>
          <w:tcPr>
            <w:tcW w:w="136"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6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or transfer fees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and registration of shares on our share register to or from the name of the depositary or its agent when you deposit or withdraw shares</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7" w:type="dxa"/>
            <w:gridSpan w:val="2"/>
            <w:tcBorders/>
            <w:tcMar>
              <w:bottom w:w="0" w:type="dxa"/>
            </w:tcMar>
            <w:vAlign w:val="center"/>
          </w:tcPr>
          <w:p>
            <w:pPr>
              <w:pStyle w:val="TableContents"/>
              <w:bidi w:val="0"/>
              <w:spacing w:before="0" w:after="283"/>
              <w:jc w:val="left"/>
              <w:rPr/>
            </w:pPr>
            <w:r>
              <w:rPr/>
              <w:t> </w:t>
            </w:r>
          </w:p>
        </w:tc>
      </w:tr>
      <w:tr>
        <w:trPr/>
        <w:tc>
          <w:tcPr>
            <w:tcW w:w="136"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6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of the depositary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(including SWIFT) and facsimile transmissions (when expressly provided in the deposit agreement) Cable (including SWIFT) and facsimile transmissions (when expressly provided in the deposit agreement)</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7" w:type="dxa"/>
            <w:gridSpan w:val="2"/>
            <w:tcBorders/>
            <w:tcMar>
              <w:bottom w:w="0" w:type="dxa"/>
            </w:tcMar>
            <w:vAlign w:val="center"/>
          </w:tcPr>
          <w:p>
            <w:pPr>
              <w:pStyle w:val="TableContents"/>
              <w:bidi w:val="0"/>
              <w:spacing w:before="0" w:after="283"/>
              <w:jc w:val="left"/>
              <w:rPr/>
            </w:pPr>
            <w:r>
              <w:rPr/>
              <w:t> </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Converting foreign currency to U.S. dollars</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7" w:type="dxa"/>
            <w:gridSpan w:val="2"/>
            <w:tcBorders/>
            <w:tcMar>
              <w:bottom w:w="0" w:type="dxa"/>
            </w:tcMar>
            <w:vAlign w:val="center"/>
          </w:tcPr>
          <w:p>
            <w:pPr>
              <w:pStyle w:val="TableContents"/>
              <w:bidi w:val="0"/>
              <w:spacing w:before="0" w:after="283"/>
              <w:jc w:val="left"/>
              <w:rPr/>
            </w:pPr>
            <w:r>
              <w:rPr/>
              <w:t> </w:t>
            </w:r>
          </w:p>
        </w:tc>
      </w:tr>
      <w:tr>
        <w:trPr/>
        <w:tc>
          <w:tcPr>
            <w:tcW w:w="136"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6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other governmental charges the depositary or the custodian has to pay on any ADSs or shares underlying ADSs, such as stock transfer taxes, stamp duty or withholding taxes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7" w:type="dxa"/>
            <w:gridSpan w:val="2"/>
            <w:tcBorders/>
            <w:tcMar>
              <w:bottom w:w="0" w:type="dxa"/>
            </w:tcMar>
            <w:vAlign w:val="center"/>
          </w:tcPr>
          <w:p>
            <w:pPr>
              <w:pStyle w:val="TableContents"/>
              <w:bidi w:val="0"/>
              <w:spacing w:before="0" w:after="283"/>
              <w:jc w:val="left"/>
              <w:rPr/>
            </w:pPr>
            <w:r>
              <w:rPr/>
              <w:t> </w:t>
            </w:r>
          </w:p>
        </w:tc>
      </w:tr>
      <w:tr>
        <w:trPr/>
        <w:tc>
          <w:tcPr>
            <w:tcW w:w="13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6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charges incurred by the depositary or its agents for servicing the deposited securities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and Exchange Offers; Redemption, Replacement or Cancelation of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not tender deposited securities in any voluntary tender or exchange offer unless instructed to do so by an ADS holder surrendering ADSs and subject to any conditions or procedures the depositary may establish.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Times;Serif" w:hAnsi="Times New Roman;Times;Serif"/>
          <w:b w:val="false"/>
          <w:i/>
          <w:caps w:val="false"/>
          <w:smallCaps w:val="false"/>
          <w:sz w:val="20"/>
        </w:rPr>
        <w:t>At the time an amendment becomes effective, you are considered, by continuing to hold your ADSs, to agree to the amendment and to be bound by the ADRs and the deposit agreement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initiate termination of the deposit agreement if we instruct it to do so. The depositary may initiate termination of the deposit agreement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 days have passed since the depositary told us it wants to resign but a successor depositary has not been appointed and accepted its appointment;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delist the ADSs from an exchange in the United States on which they were listed and do not list the ADSs on another exchange in the United States or make arrangements for trading of ADSs on the U.S. over-the-counter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delist our shares from an exchange outside the United States on which they were listed and do not list the shares on another exchange outside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has reason to believe the ADSs have become, or will become, ineligible for registration on Form F-6 under the Securities Act of 1933;</w:t>
            </w:r>
          </w:p>
        </w:tc>
      </w:tr>
    </w:tbl>
    <w:p>
      <w:pPr>
        <w:pStyle w:val="TextBody"/>
        <w:bidi w:val="0"/>
        <w:spacing w:before="0" w:after="0"/>
        <w:ind w:left="0"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2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appear to be insolvent or enter insolvency proceedings;</w:t>
            </w:r>
          </w:p>
        </w:tc>
      </w:tr>
    </w:tbl>
    <w:p>
      <w:pPr>
        <w:pStyle w:val="TextBody"/>
        <w:bidi w:val="0"/>
        <w:spacing w:before="0" w:after="0"/>
        <w:ind w:left="0" w:right="0" w:hanging="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25"/>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or substantially all the value of the deposited securities has been distributed either in cash or in the form of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deposited securities underlying the ADSs or the underlying deposited securities have become apparently worthless; or</w:t>
            </w:r>
          </w:p>
        </w:tc>
      </w:tr>
    </w:tbl>
    <w:p>
      <w:pPr>
        <w:pStyle w:val="TextBody"/>
        <w:bidi w:val="0"/>
        <w:spacing w:before="0" w:after="0"/>
        <w:ind w:left="0" w:right="0" w:hanging="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2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has been a replacement of deposited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ADS holders (until they surrender their ADSs) or give any notices or perform any other duties under the deposit agreement except as described in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Limits on our Obligations and the Obligations of the Depositary; Limits on Liability to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only obligated to take the actions specifically set forth in the deposit agreement without negligence or bad faith, and the depositary will not be a fiduciary or have any fiduciary duty to holders of ADSs;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if we are or it is prevented or delayed by law or by events or circumstances beyond our or its ability to prevent or counteract with reasonable care or effort from performing our or its obligations under the deposit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25"/>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if we or it exercises discretion permitted under the deposit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no obligation to become involved in a lawsuit or other proceeding related to the ADSs or the deposit agreement on your behalf or on behalf of any other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rely upon any documents we believe or it believes in good faith to be genuine and to have been signed or presented by the proper person;</w:t>
            </w:r>
          </w:p>
        </w:tc>
      </w:tr>
    </w:tbl>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25"/>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for the acts or omissions of any securities depository, clearing agency or settlement system;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Depositary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deliver or register a transfer of ADSs, make a distribution on ADSs, or permit withdrawal of shares, the depositary may require: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stock transfer or other taxes or other governmental charges and transfer or registration fees charged by third parties for the transfer of any shares or other deposited securities;</w:t>
            </w:r>
          </w:p>
        </w:tc>
      </w:tr>
    </w:tbl>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25"/>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satisfactory proof of the identity and genuineness of any signature or other information it deems necessary;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regulations it may establish, from time to time, consistent with the deposit agreement, including presentation of transfer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deliver ADSs or register transfers of ADSs when the transfer books of the depositary or our transfer books are closed or at any time if the depositary or we think it advisable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Right to Receive the Shares Underlying your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have the right to cancel their ADSs and withdraw the underlying shares at any time except: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temporary delays arise because: (i) the depositary has closed its transfer books or we have closed our transfer books; (ii) the transfer of shares is blocked to permit voting at a shareholders’ meeting; or (iii) we are paying a dividend on our shares;</w:t>
            </w:r>
          </w:p>
        </w:tc>
      </w:tr>
    </w:tbl>
    <w:p>
      <w:pPr>
        <w:pStyle w:val="TextBody"/>
        <w:bidi w:val="0"/>
        <w:spacing w:before="0" w:after="0"/>
        <w:ind w:left="0" w:right="0" w:hanging="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25"/>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you owe money to pay fees, taxes and similar charges;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it is necessary to prohibit withdrawals in order to comply with any laws or governmental regulations that apply to ADSs or to the withdrawal of shares or other deposited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inspection of register of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Jury Trial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by agreeing to the terms of the deposit agreement, be deemed to have waived our or the depositary’s compliance with U.S. federal securities laws or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pros_025"/>
      <w:bookmarkEnd w:id="26"/>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or series of preferred shares will be described in the related prospectus supplement. This description will include, where applicable, a description of:</w:t>
      </w:r>
    </w:p>
    <w:p>
      <w:pPr>
        <w:pStyle w:val="TextBody"/>
        <w:bidi w:val="0"/>
        <w:spacing w:before="0" w:after="0"/>
        <w:ind w:left="0" w:right="0" w:hanging="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125"/>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and nominal value of the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12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preferred shares we are offering;</w:t>
            </w:r>
          </w:p>
        </w:tc>
      </w:tr>
    </w:tbl>
    <w:p>
      <w:pPr>
        <w:pStyle w:val="TextBody"/>
        <w:bidi w:val="0"/>
        <w:spacing w:before="0" w:after="0"/>
        <w:ind w:left="0" w:right="0" w:hanging="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2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liquidation preference per preferred share, if any;</w:t>
            </w:r>
          </w:p>
        </w:tc>
      </w:tr>
    </w:tbl>
    <w:p>
      <w:pPr>
        <w:pStyle w:val="TextBody"/>
        <w:bidi w:val="0"/>
        <w:spacing w:before="0" w:after="0"/>
        <w:ind w:left="0" w:right="0" w:hanging="0"/>
        <w:jc w:val="both"/>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25"/>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issue price per preferred share (or if applicable, the calculation formula of the issue price per preferred share);</w:t>
            </w:r>
          </w:p>
        </w:tc>
      </w:tr>
    </w:tbl>
    <w:p>
      <w:pPr>
        <w:pStyle w:val="TextBody"/>
        <w:bidi w:val="0"/>
        <w:spacing w:before="0" w:after="0"/>
        <w:ind w:left="0" w:right="0" w:hanging="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2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preferential subscription rights will be issued to existing shareholders;</w:t>
            </w:r>
          </w:p>
        </w:tc>
      </w:tr>
    </w:tbl>
    <w:p>
      <w:pPr>
        <w:pStyle w:val="TextBody"/>
        <w:bidi w:val="0"/>
        <w:spacing w:before="0" w:after="0"/>
        <w:ind w:left="0" w:right="0" w:hanging="0"/>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25"/>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rate per preferred share, dividend period and payment dates and method of calculation for dividends;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dividends will be cumulative or non-cumulative and, if cumulative, the date from which dividends will accumulate;</w:t>
            </w:r>
          </w:p>
        </w:tc>
      </w:tr>
    </w:tbl>
    <w:p>
      <w:pPr>
        <w:pStyle w:val="TextBody"/>
        <w:bidi w:val="0"/>
        <w:spacing w:before="0" w:after="0"/>
        <w:ind w:left="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25"/>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right, if any, to defer payment of dividends and the maximum length of any such deferral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shares as to dividend rights (preferred dividend if any) and rights if we liquidate, dissolve or wind up the Company;</w:t>
            </w:r>
          </w:p>
        </w:tc>
      </w:tr>
    </w:tbl>
    <w:p>
      <w:pPr>
        <w:pStyle w:val="TextBody"/>
        <w:bidi w:val="0"/>
        <w:spacing w:before="0" w:after="0"/>
        <w:ind w:left="0" w:right="0" w:hanging="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for any auction and remarketing,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redemption or repurchase, if applicable, and any restrictions on our ability to exercise those redemption and repurchase rights;</w:t>
            </w:r>
          </w:p>
        </w:tc>
      </w:tr>
    </w:tbl>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2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listing of the preferred shares on any securities exchange or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shares will be convertible into our ordinary shares (including in the form of ADSs) or preferred shares of another category, and, if applicable, conditions of an automatic conversion into ordinary shares (including in the form of ADSs), if any, the conversion period, the conversion price, or how such price will be calculated, and under what circumstances it may be adjusted;</w:t>
            </w:r>
          </w:p>
        </w:tc>
      </w:tr>
    </w:tbl>
    <w:p>
      <w:pPr>
        <w:pStyle w:val="TextBody"/>
        <w:bidi w:val="0"/>
        <w:spacing w:before="0" w:after="0"/>
        <w:ind w:left="0" w:right="0" w:hanging="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if any, of the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125"/>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preemption rights, if any;</w:t>
            </w:r>
          </w:p>
        </w:tc>
      </w:tr>
    </w:tbl>
    <w:p>
      <w:pPr>
        <w:pStyle w:val="TextBody"/>
        <w:bidi w:val="0"/>
        <w:spacing w:before="0" w:after="0"/>
        <w:ind w:left="0" w:right="0" w:hanging="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25"/>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restrictions on transfer, sale or assignment,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Cayman Islands or United States federal income tax considerations applicable to the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issuances of any class or series of preferred shares ranking senior to or on a parity with the series of preferred shares being issued as to dividend rights and rights if we liquidate, dissolve or wind up our affairs;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rights attached to the preferred shares regarding the corporate governance of our company, which may include, for example representation rights to the board of directors; and</w:t>
            </w:r>
          </w:p>
        </w:tc>
      </w:tr>
    </w:tbl>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25"/>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rights, preferences, privileges, qualifications or restrictions of the preferred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cause the Company to issue from time to time, out of the authorized share capital of the Company (other than the authorized but unissued ordinary shares), series of preferred shares in their absolute discretion, subject to a re-classification of the authorized share capital of the Company to be approved by the shareholders and provided that before any preferred shares of any such series are issued, our board of directors shall by resolution of directors determine, with respect to any series of preferred shares, the terms and rights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issue preferred shares under this prospectus and the applicable prospectus supplement, the shares will be fully paid and non-assessable and will not have, or be subject to, any preemptive or similar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could adversely affect the voting power of holders of ordinary shares and ADSs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pros_026"/>
      <w:bookmarkEnd w:id="27"/>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ordinary shares, including ordinary shares represented by ADSs.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0" w:right="0" w:hanging="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25"/>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25"/>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25"/>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such warrants will be issued and exercised;</w:t>
            </w:r>
          </w:p>
        </w:tc>
      </w:tr>
    </w:tbl>
    <w:p>
      <w:pPr>
        <w:pStyle w:val="TextBody"/>
        <w:bidi w:val="0"/>
        <w:spacing w:before="0" w:after="0"/>
        <w:ind w:left="0" w:right="0" w:hanging="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25"/>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 which the price of such warrants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25"/>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purchasable upon exercise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25"/>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such warrants shall commence and the date on which such right shall expire;</w:t>
            </w:r>
          </w:p>
        </w:tc>
      </w:tr>
    </w:tbl>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25"/>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such warrants which may be exercised at any one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securities with which such warrants are issued and the number of such warrants issued with each such security;</w:t>
            </w:r>
          </w:p>
        </w:tc>
      </w:tr>
    </w:tbl>
    <w:p>
      <w:pPr>
        <w:pStyle w:val="TextBody"/>
        <w:bidi w:val="0"/>
        <w:spacing w:before="0" w:after="0"/>
        <w:ind w:left="0" w:right="0" w:hanging="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12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such warrants and the related securities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25"/>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bl>
    <w:p>
      <w:pPr>
        <w:pStyle w:val="TextBody"/>
        <w:bidi w:val="0"/>
        <w:spacing w:before="0" w:after="0"/>
        <w:ind w:left="0" w:right="0" w:hanging="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25"/>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material Cayman Islands or United States federal income tax consequences;</w:t>
            </w:r>
          </w:p>
        </w:tc>
      </w:tr>
    </w:tbl>
    <w:p>
      <w:pPr>
        <w:pStyle w:val="TextBody"/>
        <w:bidi w:val="0"/>
        <w:spacing w:before="0" w:after="0"/>
        <w:ind w:left="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25"/>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antidilution provisions of the warrants, if any;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such warrants, including terms, procedures and limitations relating to the exchange and exercise of such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pros_027"/>
      <w:bookmarkEnd w:id="28"/>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ordinary shares, including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subscription rights in respect of which this prospectus is being delivered:</w:t>
      </w:r>
    </w:p>
    <w:p>
      <w:pPr>
        <w:pStyle w:val="TextBody"/>
        <w:bidi w:val="0"/>
        <w:spacing w:before="0" w:after="0"/>
        <w:ind w:left="0" w:right="0" w:hanging="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2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such subscription rights;</w:t>
            </w:r>
          </w:p>
        </w:tc>
      </w:tr>
    </w:tbl>
    <w:p>
      <w:pPr>
        <w:pStyle w:val="TextBody"/>
        <w:bidi w:val="0"/>
        <w:spacing w:before="0" w:after="0"/>
        <w:ind w:left="0" w:right="0" w:hanging="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25"/>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for which such subscription rights are exercisable;</w:t>
            </w:r>
          </w:p>
        </w:tc>
      </w:tr>
    </w:tbl>
    <w:p>
      <w:pPr>
        <w:pStyle w:val="TextBody"/>
        <w:bidi w:val="0"/>
        <w:spacing w:before="0" w:after="0"/>
        <w:ind w:left="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12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for such subscription rights;</w:t>
            </w:r>
          </w:p>
        </w:tc>
      </w:tr>
    </w:tbl>
    <w:p>
      <w:pPr>
        <w:pStyle w:val="TextBody"/>
        <w:bidi w:val="0"/>
        <w:spacing w:before="0" w:after="0"/>
        <w:ind w:left="0" w:right="0" w:hanging="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25"/>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such subscription rights issued to each shareholder;</w:t>
            </w:r>
          </w:p>
        </w:tc>
      </w:tr>
    </w:tbl>
    <w:p>
      <w:pPr>
        <w:pStyle w:val="TextBody"/>
        <w:bidi w:val="0"/>
        <w:spacing w:before="0" w:after="0"/>
        <w:ind w:left="0" w:right="0" w:hanging="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25"/>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such subscription rights are transferable;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the material Cayman Islands or United States federal income tax considerations applicable to the issuance or exercise of such subscription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such subscription rights shall commence, and the date on which such rights shall expire (subject to any extension);</w:t>
            </w:r>
          </w:p>
        </w:tc>
      </w:tr>
    </w:tbl>
    <w:p>
      <w:pPr>
        <w:pStyle w:val="TextBody"/>
        <w:bidi w:val="0"/>
        <w:spacing w:before="0" w:after="0"/>
        <w:ind w:left="0" w:right="0" w:hanging="0"/>
        <w:jc w:val="both"/>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125"/>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such subscription rights include an over-subscription privilege with respect to unsubscribed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material terms of any standby underwriting or other purchase arrangement that we may enter into in connection with the subscription rights offering;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such subscription rights, including terms, procedures and limitations relating to the exchange and exercise of such subscription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pros_028"/>
      <w:bookmarkEnd w:id="29"/>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25"/>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unit agreement under which the units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and</w:t>
            </w:r>
          </w:p>
        </w:tc>
      </w:tr>
    </w:tbl>
    <w:p>
      <w:pPr>
        <w:pStyle w:val="TextBody"/>
        <w:bidi w:val="0"/>
        <w:spacing w:before="0" w:after="0"/>
        <w:ind w:left="0" w:right="0" w:hanging="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2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pros_029"/>
      <w:bookmarkEnd w:id="30"/>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the Cayman Islands in order to enjoy the following benefits:</w:t>
      </w:r>
    </w:p>
    <w:p>
      <w:pPr>
        <w:pStyle w:val="TextBody"/>
        <w:bidi w:val="0"/>
        <w:spacing w:before="0" w:after="0"/>
        <w:ind w:left="0" w:right="0" w:hanging="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2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0" w:right="0" w:hanging="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125"/>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0"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25"/>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0" w:right="0" w:hanging="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2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0" w:right="0" w:hanging="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2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developed body of securities laws as compared to the United States and these securities laws provide significantly less protection to investors; and</w:t>
            </w:r>
          </w:p>
        </w:tc>
      </w:tr>
    </w:tbl>
    <w:p>
      <w:pPr>
        <w:pStyle w:val="TextBody"/>
        <w:bidi w:val="0"/>
        <w:spacing w:before="0" w:after="0"/>
        <w:ind w:left="0" w:right="0" w:hanging="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25"/>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operations are conducted in China, and substantially all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(Hong Kong), our counsel as to Cayman Islands law, and Global Law Office, our counsel as to PRC law, have advised us, respectively, that there is uncertainty as to whether the courts of the Cayman Islands and China, respectively, would: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or enforce judgments of United States courts obtained against us or our directors or officers predicated upon the civil liability provisions of the securities laws of the United States or any state in the United States;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(Hong Kong) has informed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Walkers (Hong Kong)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Global Law Office,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Global Law Office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pros_030"/>
      <w:bookmarkEnd w:id="31"/>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income tax considerations relating to the purchase, ownership and disposition of any of the securities offered by this prospectus will be set forth in the applicable prospectus supplement relating to the offering of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pros_031"/>
      <w:bookmarkEnd w:id="32"/>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(if any) to be named in a prospectus supplement may, from time to time, offer and sell ordinary shares or ADSs of our company held by them pursuant to this prospectus and the applicable prospectus supplement. Such selling shareholders may sell ordinary shares to or through underwriters, dealers or agents or directly to purchasers or as otherwise set forth in the applicable prospectus supplement. See “Plan of Distribution.” Such selling shareholders may also sell, transfer or otherwise dispose of ordinary shares or ADSs in transactions exempt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selling shareholder is to offer and sell ordinary shares or ADSs pursuant to this prospectus, we will provide you with a prospectus supplement that sets forth the name of each such selling shareholder and the number of ordinary shares or ADSs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pros_032"/>
      <w:bookmarkEnd w:id="3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shareholders named in the applicable prospectus supplement may sell the securities described in this prospectus from time to time in one or more transactions,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125"/>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or through underwriters, brokers or dealers;</w:t>
            </w:r>
          </w:p>
        </w:tc>
      </w:tr>
    </w:tbl>
    <w:p>
      <w:pPr>
        <w:pStyle w:val="TextBody"/>
        <w:bidi w:val="0"/>
        <w:spacing w:before="0" w:after="0"/>
        <w:ind w:left="0" w:right="0" w:hanging="0"/>
        <w:jc w:val="both"/>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2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any national exchange on which the securities offered by this prospectus are listed or any automatic quotation system through which the securities may be quoted;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block trade in which the broker or dealer engaged to handle the block trade will attempt to sell the securities as agent, but may position and resell a portion of the block as principal to facilitate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25"/>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to one or more purchasers in negotiated sales or competitively bid transactions; or</w:t>
            </w:r>
          </w:p>
        </w:tc>
      </w:tr>
    </w:tbl>
    <w:p>
      <w:pPr>
        <w:pStyle w:val="TextBody"/>
        <w:bidi w:val="0"/>
        <w:spacing w:before="0" w:after="0"/>
        <w:ind w:left="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25"/>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of these methods.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shareholders named in the applicable prospectus supplement may sell the securities offered by this prospectus at:</w:t>
      </w:r>
    </w:p>
    <w:p>
      <w:pPr>
        <w:pStyle w:val="TextBody"/>
        <w:bidi w:val="0"/>
        <w:spacing w:before="0" w:after="0"/>
        <w:ind w:left="0"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25"/>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price or prices, which may be changed;</w:t>
            </w:r>
          </w:p>
        </w:tc>
      </w:tr>
    </w:tbl>
    <w:p>
      <w:pPr>
        <w:pStyle w:val="TextBody"/>
        <w:bidi w:val="0"/>
        <w:spacing w:before="0" w:after="0"/>
        <w:ind w:left="0" w:right="0" w:hanging="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125"/>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0" w:right="0" w:hanging="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2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prices related to such prevailing market prices; or</w:t>
            </w:r>
          </w:p>
        </w:tc>
      </w:tr>
    </w:tbl>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2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best-efforts basis. If we or the selling shareholders named in the applicable prospectus supplement sell securities to 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the offering of the securities, including the following:</w:t>
      </w:r>
    </w:p>
    <w:p>
      <w:pPr>
        <w:pStyle w:val="TextBody"/>
        <w:bidi w:val="0"/>
        <w:spacing w:before="0" w:after="0"/>
        <w:ind w:left="0" w:right="0" w:hanging="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2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agent or any underwriters, if any;</w:t>
            </w:r>
          </w:p>
        </w:tc>
      </w:tr>
    </w:tbl>
    <w:p>
      <w:pPr>
        <w:pStyle w:val="TextBody"/>
        <w:bidi w:val="0"/>
        <w:spacing w:before="0" w:after="0"/>
        <w:ind w:left="0" w:right="0" w:hanging="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12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 offering or purchase price;</w:t>
            </w:r>
          </w:p>
        </w:tc>
      </w:tr>
    </w:tbl>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25"/>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and commissions to be allowed or paid to the agent or underwriters, if any;</w:t>
            </w:r>
          </w:p>
        </w:tc>
      </w:tr>
    </w:tbl>
    <w:p>
      <w:pPr>
        <w:pStyle w:val="TextBody"/>
        <w:bidi w:val="0"/>
        <w:spacing w:before="0" w:after="0"/>
        <w:ind w:left="0" w:right="0" w:hanging="0"/>
        <w:jc w:val="both"/>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125"/>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items constituting underwriting compensation, to the extent applicable;</w:t>
            </w:r>
          </w:p>
        </w:tc>
      </w:tr>
    </w:tbl>
    <w:p>
      <w:pPr>
        <w:pStyle w:val="TextBody"/>
        <w:bidi w:val="0"/>
        <w:spacing w:before="0" w:after="0"/>
        <w:ind w:left="0" w:right="0" w:hanging="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25"/>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and commissions to be allowed or paid to dealers, to the extent applicable; and</w:t>
            </w:r>
          </w:p>
        </w:tc>
      </w:tr>
    </w:tbl>
    <w:p>
      <w:pPr>
        <w:pStyle w:val="TextBody"/>
        <w:bidi w:val="0"/>
        <w:spacing w:before="0" w:after="0"/>
        <w:ind w:left="0" w:right="0" w:hanging="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2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exchanges on which the securities will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pay expenses incurred with respect to the registration of shares owned by any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as well as their associates, may be customers of or lenders to, and may engage in transactions with and perform services for, us and our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pros_033"/>
      <w:bookmarkEnd w:id="3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Davis Polk &amp; Wardwell LLP with respect to certain legal matters as to United States federal securities and New York State law. Certain legal matters in connection with any offering made pursuant to this prospectus will be passed upon for the underwriters, if any, by a law firm named in the applicable prospectus supplement. The validity of the Class A ordinary shares represented by the ADSs offered in this offering and other certain legal matters as to Cayman Islands law will be passed upon for us by Walkers (Hong Kong). Certain legal matters as to PRC law will be passed upon for us by Global Law Office and for the underwriters, if any, by a law firm named in the applicable prospectus supplement. Davis Polk &amp; Wardwell LLP may rely upon Walkers (Hong Kong) with respect to matters governed by Cayman Islands law and Global Law Office with respect to matters governed by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pros_034"/>
      <w:bookmarkEnd w:id="35"/>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consolidated financial statements as of December 31, 2024 and 2025, and for each of the two years in the period ended December 31, 2025, incorporated by reference into this prospectus from our 2025 </w:t>
      </w:r>
      <w:hyperlink r:id="rId9">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have been audited by Marcum Asia CPAs LLP, an independent registered public accounting firm, as stated in their report. Such consolidated financial statements are incorporated herein by reference in reliance upon such report given on the authority of such firm as experts in accounting and auditing. The registered business address of Marcum Asia CPAs LLP is 7 Pennsylvania Plaza Suite 830, New York, New York 10001.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consolidated financial statements of YXT.COM GROUP HOLDING LIMITED for the year ended December 31, 2023 incorporated in this prospectus by reference to the </w:t>
      </w:r>
      <w:hyperlink r:id="rId10">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xml:space="preserve"> have been so incorporated in reliance on the report of PricewaterhouseCoopers Zhong Tian LLP, an independent registered public accounting firm, given on the authority of said firm as experts in auditing and accounting. The registered business address of PricewaterhouseCoopers Zhong Tian LLP is 6/F DBS Bank Tower, 1318, Lu Jia Zui Ring Road, Pudong New Area, Shanghai, the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pros_035"/>
      <w:bookmarkEnd w:id="36"/>
      <w:r>
        <w:rPr>
          <w:rFonts w:ascii="Times New Roman;Times;Serif" w:hAnsi="Times New Roman;Times;Serif"/>
          <w:b/>
          <w:i w:val="false"/>
          <w:caps w:val="false"/>
          <w:smallCaps w:val="false"/>
          <w:sz w:val="20"/>
        </w:rPr>
        <w:t>WHERE YOU CAN FIND MORE INFORMATION ABOUT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reporting requirements of the Exchange Act that are applicable to a foreign private issuer, and in accordance with the Exchange Act, we file annual reports and other information with the SEC. Information we file with the SEC can be obtained over the internet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You can also find information on our website at www.yxt.com. The information contained on our website is not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pros_036"/>
      <w:bookmarkEnd w:id="37"/>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w:t>
      </w:r>
    </w:p>
    <w:p>
      <w:pPr>
        <w:pStyle w:val="TextBody"/>
        <w:bidi w:val="0"/>
        <w:spacing w:before="0" w:after="0"/>
        <w:ind w:left="0" w:right="0" w:hanging="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25"/>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35" w:type="dxa"/>
            <w:tcBorders/>
            <w:vAlign w:val="center"/>
          </w:tcPr>
          <w:p>
            <w:pPr>
              <w:pStyle w:val="TableContents"/>
              <w:bidi w:val="0"/>
              <w:spacing w:before="0" w:after="283"/>
              <w:jc w:val="both"/>
              <w:rPr/>
            </w:pPr>
            <w:hyperlink r:id="rId11">
              <w:r>
                <w:rPr>
                  <w:rStyle w:val="InternetLink"/>
                  <w:rFonts w:ascii="Times New Roman;Times;Serif" w:hAnsi="Times New Roman;Times;Serif"/>
                  <w:sz w:val="20"/>
                </w:rPr>
                <w:t>our annual report on Form 20-F for the fiscal year ended December 31, 2025 filed on April 29, 2026</w:t>
              </w:r>
            </w:hyperlink>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rFonts w:ascii="Times New Roman;Times;Serif" w:hAnsi="Times New Roman;Times;Serif"/>
                <w:sz w:val="20"/>
              </w:rPr>
              <w:t xml:space="preserve">the description of the securities contained in our registration statement on </w:t>
            </w:r>
            <w:hyperlink r:id="rId12">
              <w:r>
                <w:rPr>
                  <w:rStyle w:val="InternetLink"/>
                  <w:rFonts w:ascii="Times New Roman;Times;Serif" w:hAnsi="Times New Roman;Times;Serif"/>
                  <w:sz w:val="20"/>
                </w:rPr>
                <w:t>Form 8-A filed on August 7, 2024</w:t>
              </w:r>
            </w:hyperlink>
            <w:r>
              <w:rPr>
                <w:rFonts w:ascii="Times New Roman;Times;Serif" w:hAnsi="Times New Roman;Times;Serif"/>
                <w:sz w:val="20"/>
              </w:rPr>
              <w:t>, together with all amendments and reports filed for the purpose of updating that description;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each offering of securities under this prospectus, all reports on Form 20-F and any report on Form 6-K that so indicates it is being incorporated by reference, in each case, that we file or furnish with the SEC on or after the date on which the registration statement is first filed with the SEC and until the termination or completion of that offering under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GROUP HOLDING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501-502, No. 78 East Jinshan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Huqiu District, Suzhou</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Jiangsu, 215011,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39</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72090/000110465926051465/yxt-20251231x20f.htm" TargetMode="External"/><Relationship Id="rId3" Type="http://schemas.openxmlformats.org/officeDocument/2006/relationships/hyperlink" Target="https://www.sec.gov/ix?doc=/Archives/edgar/data/1872090/000110465926051465/yxt-20251231x20f.htm" TargetMode="External"/><Relationship Id="rId4" Type="http://schemas.openxmlformats.org/officeDocument/2006/relationships/hyperlink" Target="https://www.sec.gov/Archives/edgar/data/1872090/000110465926082409/tm2619924d1_6k.htm" TargetMode="External"/><Relationship Id="rId5" Type="http://schemas.openxmlformats.org/officeDocument/2006/relationships/hyperlink" Target="https://www.sec.gov/Archives/edgar/data/1872090/000110465926088990/tm2621802d1_6k.htm" TargetMode="External"/><Relationship Id="rId6" Type="http://schemas.openxmlformats.org/officeDocument/2006/relationships/hyperlink" Target="https://www.sec.gov/Archives/edgar/data/1872090/000119312524195585/d856750d8a12b.htm" TargetMode="External"/><Relationship Id="rId7" Type="http://schemas.openxmlformats.org/officeDocument/2006/relationships/hyperlink" Target="https://www.sec.gov/ix?doc=/Archives/edgar/data/1872090/000110465926051465/yxt-20251231x20f.htm" TargetMode="External"/><Relationship Id="rId8" Type="http://schemas.openxmlformats.org/officeDocument/2006/relationships/hyperlink" Target="https://www.sec.gov/ix?doc=/Archives/edgar/data/1872090/000110465926051465/yxt-20251231x20f.htm" TargetMode="External"/><Relationship Id="rId9" Type="http://schemas.openxmlformats.org/officeDocument/2006/relationships/hyperlink" Target="https://www.sec.gov/ix?doc=/Archives/edgar/data/1872090/000110465926051465/yxt-20251231x20f.htm" TargetMode="External"/><Relationship Id="rId10" Type="http://schemas.openxmlformats.org/officeDocument/2006/relationships/hyperlink" Target="https://www.sec.gov/ix?doc=/Archives/edgar/data/1872090/000110465926051465/yxt-20251231x20f.htm" TargetMode="External"/><Relationship Id="rId11" Type="http://schemas.openxmlformats.org/officeDocument/2006/relationships/hyperlink" Target="https://www.sec.gov/ix?doc=/Archives/edgar/data/1872090/000110465926051465/yxt-20251231x20f.htm" TargetMode="External"/><Relationship Id="rId12" Type="http://schemas.openxmlformats.org/officeDocument/2006/relationships/hyperlink" Target="https://www.sec.gov/Archives/edgar/data/1872090/000119312524195585/d856750d8a12b.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38653</Words>
  <Characters>200900</Characters>
  <CharactersWithSpaces>239526</CharactersWithSpaces>
  <Paragraphs>2195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