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00d1_6k.htm"/>
      <w:bookmarkStart w:id="1" w:name="kstm2623300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YXT.COM GROUP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501-502, No. 78 East Jinshan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Huqiu District, Suzhou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Jiangsu, 215011,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(512) 6689 9881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YXT.COM Group Holding Limited (the “Company”) entered into that certain securities purchase agreement (the “Purchase Agreement”) with a non-affiliated institutional investor (the “Purchaser”) pursuant to which the Company agreed to sell 500,000 American Depositary Shares (“ADSs”), each representing thirty (30) Class A ordinary shares of the Company, par value $0.0001 per share (“Ordinary Shares”), in a registered direct offering (the “Offering”). The offering price for each ADS is $3.00 (the “Offering Price”). The gross proceeds to the Company from the Offering were $1,500,000 before deducting placement agent’s fees and other estimated Offering expenses. The Company currently intends to use the net proceeds from the Offering for investment in research and development to enhance and expand our solution offerings, investment in technology system and infrastructure to improve our operational efficiency, marketing and brand promotions, strategic investments and acquisitions complementary to our business, and for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were offered under the Company’s registration statement on Form F-3 (File No. 333-292185), initially filed with the U.S. Securities and Exchange Commission (the “SEC”) on December 17, 2025, as amended, and declared effective on June 29, 2026 (the “Registration Statement”), and are being offered and sold pursuant to a prospectus supplement, dated August 14, 2026, filed with the SEC pursuant to Rule 424(b)(5) under the Securities Act of 1933, as amended (the “Securities Act”), and the accompanying base prospectus, dated June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subject to certain exceptions, (A) not to (i) issue, enter into any agreement to issue or announce the issuance or proposed issuance of any ADSs, Ordinary Shares or securities convertible into Ordinary Shares until 15 days after the closing date of the Offering, (ii) file any registration statement or amendment or supplement thereto, other than (w) the prospectus supplement to the Registration Statement in connection with the Offering, (x) a registration statement on Form S-8 in connection with any employee benefit plan, (y) a registration statement on Form F-6, or any amendment thereto, relating to the ADSs, or (z) any amendment or supplement to the Registration Statement, and any report filed under the Securities Exchange Act of 1934, as amended (the “Exchange Act”), that is incorporated by reference therein, in each case that the Company is required to file under the Securities Act, the Exchange Act or the rules and regulations of the SEC; and (B) not to issue certain securities if the issuance would constitute a Variable Rate Transaction (as such term is defined in the Purchase Agreement) for a period of 15 days from the closing date of the Offering. The Purchase Agreement contains customary representations, warranties, and covenants by the Company. It also provides for customary indemnification by the Company to the Purchaser for losses or damages arising out of or in connection with the Offering, including for breach of the representations and warranties. The Purchase Agreement also contains other obligations of the parties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each of the directors and officers of the Company entered into a lock-up agreement, dated August 14, 2026, pursuant to which such person agreed, subject to certain exceptions, not to offer, sell, contract to sell, pledge or otherwise dispose of any Ordinary Shares or ADSs beneficially owned by such person, without the prior written consent of Univest Securities, LLC, for a period of fifteen (15) days following the closing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Agency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on August 14, 2026, the Company entered into a placement agency agreement (the “Placement Agency Agreement”) with Univest Securities, LLC (the “Placement Agent”), pursuant to which the Placement Agent agreed to act as placement agent on a “reasonable best efforts” basis in connection with the Offering. Pursuant to the Placement Agency Agreement, the Company agreed to pay the Placement Agent an aggregate fee equal to 7.0% of the gross proceeds raised in the Offering, other than gross proceeds raised from certain pre-existing investors sourced directly by the Company, and reimburse the Placement Agent for its reasonable out-of-pocket expenses, including legal fees, in an amount up to $100,000. The Placement Agency Agreement contains customary representations, warranties, and covenants by the Company. It also provides for customary indemnification by each of the Company and the Placement Agent for losses or damages arising out of or in connection with the Offering, including for liabilities under the Securities Act, other obligations of the parties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priced on August 14, 2026. The closing of the Offering took place on August 17, 2026, at which time the Company issued and sold the 500,000 ADSs to the Purchaser against payment of the aggregate purchase price of $1,500,000.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each of the Placement Agency Agreement, the Purchase Agreement and the form of lock-up agreement, and is qualified in its entirety by reference to the full text of each of such documents, which are filed as Exhibits 1.1, 10.1 and 10.2, respectively, to this Report on Form 6-K (this “6-K”)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forward-looking statements. Forward-looking statements include statements herein with respect to, among other things, the anticipated use of proceeds from such offering, and the successful execution of the Company’s business strategy. These statements are based on current expectations, estimates and projections about the Company’s business based, in part, on assumptions made by its management. These statements are not guarantees of future performances and involve risks, uncertainties and assumptions that are difficult to predict. Therefore, actual outcomes and results may differ materially from what is expressed or forecasted in the forward-looking statements due to numerous factors, including those risks discussed in the Registration Statement, the Company’s annual report on Form 20-F for the fiscal year ended December 31, 2025, and in other documents that the Company files from time to time with the SEC. Any forward-looking statements speak only as of the date on which they are made, and the Company undertakes no obligation to update any forward-looking statement to reflect events or circumstances after the date of this Form 6-K,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br/>
              <w:t>No.</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w:anchor="tm2623300d1_ex1-1.htm">
              <w:r>
                <w:rPr>
                  <w:rStyle w:val="InternetLink"/>
                  <w:rFonts w:ascii="Times New Roman;Times;Serif" w:hAnsi="Times New Roman;Times;Serif"/>
                  <w:sz w:val="20"/>
                </w:rPr>
                <w:t>1.1</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both"/>
              <w:rPr/>
            </w:pPr>
            <w:hyperlink w:anchor="tm2623300d1_ex1-1.htm">
              <w:r>
                <w:rPr>
                  <w:rStyle w:val="InternetLink"/>
                  <w:rFonts w:ascii="Times New Roman;Times;Serif" w:hAnsi="Times New Roman;Times;Serif"/>
                  <w:sz w:val="20"/>
                </w:rPr>
                <w:t>Placement Agency Agreement, dated as of August 14, 2026, by and between YXT.COM Group Holding Limited and Univest Securities, LLC, as placement agent</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both"/>
              <w:rPr/>
            </w:pPr>
            <w:r>
              <w:rPr/>
              <w:t> </w:t>
            </w:r>
          </w:p>
        </w:tc>
      </w:tr>
      <w:tr>
        <w:trPr/>
        <w:tc>
          <w:tcPr>
            <w:tcW w:w="710" w:type="dxa"/>
            <w:tcBorders/>
            <w:vAlign w:val="center"/>
          </w:tcPr>
          <w:p>
            <w:pPr>
              <w:pStyle w:val="TableContents"/>
              <w:bidi w:val="0"/>
              <w:spacing w:before="0" w:after="283"/>
              <w:jc w:val="left"/>
              <w:rPr/>
            </w:pPr>
            <w:hyperlink w:anchor="tm2623300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tm2623300d1_ex5-1.htm">
              <w:r>
                <w:rPr>
                  <w:rStyle w:val="InternetLink"/>
                  <w:rFonts w:ascii="Times New Roman;Times;Serif" w:hAnsi="Times New Roman;Times;Serif"/>
                  <w:sz w:val="20"/>
                </w:rPr>
                <w:t>Opinion of Walkers (Hong Kong), Cayman Islands counsel to the Company</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w:anchor="tm2623300d1_ex5-1.htm">
              <w:r>
                <w:rPr>
                  <w:rStyle w:val="InternetLink"/>
                  <w:rFonts w:ascii="Times New Roman;Times;Serif" w:hAnsi="Times New Roman;Times;Serif"/>
                  <w:sz w:val="20"/>
                </w:rPr>
                <w:t>8.1</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both"/>
              <w:rPr/>
            </w:pPr>
            <w:hyperlink w:anchor="tm2623300d1_ex5-1.htm">
              <w:r>
                <w:rPr>
                  <w:rStyle w:val="InternetLink"/>
                  <w:rFonts w:ascii="Times New Roman;Times;Serif" w:hAnsi="Times New Roman;Times;Serif"/>
                  <w:sz w:val="20"/>
                </w:rPr>
                <w:t>Opinion of Walkers (Hong Kong), Cayman Islands counsel to the Company, regarding certain Cayman Islands tax matters (included in Exhibit 5.1)</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both"/>
              <w:rPr/>
            </w:pPr>
            <w:r>
              <w:rPr/>
              <w:t> </w:t>
            </w:r>
          </w:p>
        </w:tc>
      </w:tr>
      <w:tr>
        <w:trPr/>
        <w:tc>
          <w:tcPr>
            <w:tcW w:w="710" w:type="dxa"/>
            <w:tcBorders/>
            <w:vAlign w:val="center"/>
          </w:tcPr>
          <w:p>
            <w:pPr>
              <w:pStyle w:val="TableContents"/>
              <w:bidi w:val="0"/>
              <w:spacing w:before="0" w:after="283"/>
              <w:jc w:val="left"/>
              <w:rPr/>
            </w:pPr>
            <w:hyperlink w:anchor="tm2623300d1_ex99-1.htm">
              <w:r>
                <w:rPr>
                  <w:rStyle w:val="InternetLink"/>
                  <w:rFonts w:ascii="Times New Roman;Times;Serif" w:hAnsi="Times New Roman;Times;Serif"/>
                  <w:sz w:val="20"/>
                </w:rPr>
                <w:t>8.2</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tm2623300d1_ex99-1.htm">
              <w:r>
                <w:rPr>
                  <w:rStyle w:val="InternetLink"/>
                  <w:rFonts w:ascii="Times New Roman;Times;Serif" w:hAnsi="Times New Roman;Times;Serif"/>
                  <w:sz w:val="20"/>
                </w:rPr>
                <w:t>Opinion of Global Law Office, PRC counsel to the Company, regarding certain PRC tax matters (included in Exhibit 99.1)</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w:anchor="tm2623300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both"/>
              <w:rPr/>
            </w:pPr>
            <w:hyperlink w:anchor="tm2623300d1_ex10-1.htm">
              <w:r>
                <w:rPr>
                  <w:rStyle w:val="InternetLink"/>
                  <w:rFonts w:ascii="Times New Roman;Times;Serif" w:hAnsi="Times New Roman;Times;Serif"/>
                  <w:sz w:val="20"/>
                </w:rPr>
                <w:t>Form of Securities Purchase Agreement, dated as of August 14, 2026, by and between the Company and the purchaser signatory thereto</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both"/>
              <w:rPr/>
            </w:pPr>
            <w:r>
              <w:rPr/>
              <w:t> </w:t>
            </w:r>
          </w:p>
        </w:tc>
      </w:tr>
      <w:tr>
        <w:trPr/>
        <w:tc>
          <w:tcPr>
            <w:tcW w:w="710" w:type="dxa"/>
            <w:tcBorders/>
            <w:vAlign w:val="center"/>
          </w:tcPr>
          <w:p>
            <w:pPr>
              <w:pStyle w:val="TableContents"/>
              <w:bidi w:val="0"/>
              <w:spacing w:before="0" w:after="283"/>
              <w:jc w:val="left"/>
              <w:rPr/>
            </w:pPr>
            <w:hyperlink w:anchor="tm2623300d1_ex10-2.htm">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tm2623300d1_ex10-2.htm">
              <w:r>
                <w:rPr>
                  <w:rStyle w:val="InternetLink"/>
                  <w:rFonts w:ascii="Times New Roman;Times;Serif" w:hAnsi="Times New Roman;Times;Serif"/>
                  <w:sz w:val="20"/>
                </w:rPr>
                <w:t>Form of Lock-Up Agreement</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w:anchor="tm2623300d1_ex5-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tm2623300d1_ex5-1.htm">
              <w:r>
                <w:rPr>
                  <w:rStyle w:val="InternetLink"/>
                  <w:rFonts w:ascii="Times New Roman;Times;Serif" w:hAnsi="Times New Roman;Times;Serif"/>
                  <w:sz w:val="20"/>
                </w:rPr>
                <w:t>Consent of Walkers (Hong Kong) (included in Exhibits 5.1 and 8.1)</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w:anchor="tm2623300d1_ex99-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tm2623300d1_ex99-1.htm">
              <w:r>
                <w:rPr>
                  <w:rStyle w:val="InternetLink"/>
                  <w:rFonts w:ascii="Times New Roman;Times;Serif" w:hAnsi="Times New Roman;Times;Serif"/>
                  <w:sz w:val="20"/>
                </w:rPr>
                <w:t>Consent of Global Law Office (included in Exhibit 99.1)</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w:anchor="tm262330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tm2623300d1_ex99-1.htm">
              <w:r>
                <w:rPr>
                  <w:rStyle w:val="InternetLink"/>
                  <w:rFonts w:ascii="Times New Roman;Times;Serif" w:hAnsi="Times New Roman;Times;Serif"/>
                  <w:sz w:val="20"/>
                </w:rPr>
                <w:t>Opinion of Global Law Office, PRC counsel to the Company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1.1, 5.1, 8.1, 8.2, 10.1, 10.2, 23.1 and 23.2 to this report on Form 6-K are hereby incorporated by reference into the registration statement of the Company on Form F-3 (File No. 333-292185) to the extent not superseded by documents or reports subsequently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777"/>
        <w:gridCol w:w="114"/>
        <w:gridCol w:w="2683"/>
        <w:gridCol w:w="75"/>
      </w:tblGrid>
      <w:tr>
        <w:trPr/>
        <w:tc>
          <w:tcPr>
            <w:tcW w:w="357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YXT.COM GROUP HOLDING LIMITED</w:t>
            </w:r>
          </w:p>
        </w:tc>
        <w:tc>
          <w:tcPr>
            <w:tcW w:w="75" w:type="dxa"/>
            <w:tcBorders/>
            <w:vAlign w:val="center"/>
          </w:tcPr>
          <w:p>
            <w:pPr>
              <w:pStyle w:val="TableContents"/>
              <w:bidi w:val="0"/>
              <w:spacing w:before="0" w:after="283"/>
              <w:jc w:val="left"/>
              <w:rPr/>
            </w:pPr>
            <w:r>
              <w:rPr/>
              <w:t> </w:t>
            </w:r>
          </w:p>
        </w:tc>
      </w:tr>
      <w:tr>
        <w:trPr/>
        <w:tc>
          <w:tcPr>
            <w:tcW w:w="357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1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6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Shen Cao</w:t>
            </w:r>
          </w:p>
        </w:tc>
        <w:tc>
          <w:tcPr>
            <w:tcW w:w="75"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1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6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 Cao</w:t>
            </w:r>
          </w:p>
        </w:tc>
        <w:tc>
          <w:tcPr>
            <w:tcW w:w="75"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1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6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3300d1_ex1-1.htm"/>
      <w:bookmarkStart w:id="3" w:name="kstm2623300d1_ex11"/>
      <w:bookmarkEnd w:id="2"/>
      <w:bookmarkEnd w:id="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AGENCY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Room 501-502, No. 78 East Jinshan Road </w:t>
        <w:br/>
        <w:t xml:space="preserve">Huqiu District, Suzhou, Jiangsu 215011 </w:t>
        <w:br/>
        <w:t>The People’s Republic of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Xiaoyan Lu,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Lu: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letter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between Univest Securities, LLC, as the lead placement agent (“</w:t>
      </w:r>
      <w:r>
        <w:rPr>
          <w:rFonts w:ascii="Times New Roman;Times;Serif" w:hAnsi="Times New Roman;Times;Serif"/>
          <w:b/>
          <w:i w:val="false"/>
          <w:caps w:val="false"/>
          <w:smallCaps w:val="false"/>
          <w:sz w:val="20"/>
        </w:rPr>
        <w:t>Univest</w:t>
      </w:r>
      <w:r>
        <w:rPr>
          <w:rFonts w:ascii="Times New Roman;Times;Serif" w:hAnsi="Times New Roman;Times;Serif"/>
          <w:b w:val="false"/>
          <w:i w:val="false"/>
          <w:caps w:val="false"/>
          <w:smallCaps w:val="false"/>
          <w:sz w:val="20"/>
        </w:rPr>
        <w:t>”) (Univest is also referred to herein as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and YXT.COM GROUP HOLDING LIMITED, an exempted company incorporated with limited liability under the laws of the Cayman Islands, whose ADSs are listed on the Nasdaq Global Market under the symbol “YXT”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parties hereby agree that the Placement Agent shall serve as the placement agent for the Company, on a “reasonable best efforts” basis, in connection with the proposed placement (the “</w:t>
      </w:r>
      <w:r>
        <w:rPr>
          <w:rFonts w:ascii="Times New Roman;Times;Serif" w:hAnsi="Times New Roman;Times;Serif"/>
          <w:b/>
          <w:i w:val="false"/>
          <w:caps w:val="false"/>
          <w:smallCaps w:val="false"/>
          <w:sz w:val="20"/>
        </w:rPr>
        <w:t>Placement</w:t>
      </w:r>
      <w:r>
        <w:rPr>
          <w:rFonts w:ascii="Times New Roman;Times;Serif" w:hAnsi="Times New Roman;Times;Serif"/>
          <w:b w:val="false"/>
          <w:i w:val="false"/>
          <w:caps w:val="false"/>
          <w:smallCaps w:val="false"/>
          <w:sz w:val="20"/>
        </w:rPr>
        <w:t>”) of up to $1,500,000 of registered securities of the Company, consisting of Class A ordinary shares, par value $0.0001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represented by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with each ADS representing 30 Ordinary Shares. The ADSs actually placed by the Placement Agent are referred to herein as the “</w:t>
      </w:r>
      <w:r>
        <w:rPr>
          <w:rFonts w:ascii="Times New Roman;Times;Serif" w:hAnsi="Times New Roman;Times;Serif"/>
          <w:b/>
          <w:i w:val="false"/>
          <w:caps w:val="false"/>
          <w:smallCaps w:val="false"/>
          <w:sz w:val="20"/>
        </w:rPr>
        <w:t>Placement Agent Securities</w:t>
      </w:r>
      <w:r>
        <w:rPr>
          <w:rFonts w:ascii="Times New Roman;Times;Serif" w:hAnsi="Times New Roman;Times;Serif"/>
          <w:b w:val="false"/>
          <w:i w:val="false"/>
          <w:caps w:val="false"/>
          <w:smallCaps w:val="false"/>
          <w:sz w:val="20"/>
        </w:rPr>
        <w:t>.” The Placement Agent Securities shall be offered and sold under the Company’s registration statement on Form F-3, as amended (File No. 333-292185), which was declared effective by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June 29, 2026. The documents executed and delivered by the Company and the Purchasers (as defined below) in connection with the Placement, including, without limitation,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shall be collectively referred to herein as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Placement shall be mutually agreed upon by the Company and the purchasers listed in the Purchase Agreement (each,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and nothing herein constitutes that the Placement Agent would have the power or authority to bind the Company or any Purchaser, or an obligation for the Company to issue any Placement Agent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Placement Agent Securities and does not ensure the successful placement of the Placement Agent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Certain affiliates of the Placement Agent may participate in the Placement by purchasing some of the Placement Agent Securities. The sale of Placement Agent Securities to any Purchaser will be evidenced by the Purchase Agreement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with responsibility for financial affairs will be reasonably available to answer inquiries from prospective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REPRESENTATIONS AND WARRANTIES OF THE COMPANY; 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prepared and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F-3 (File No. 333-292185) for the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the Placement Agent Securities, which registration statement became effective on June 29, 2026. At the time of such filing, the Company met the requirements of Form F-3 under the Securities Act. Such registration statement meets the requirements set forth in Rule 415(a)(1)(x) under the Securities Act and complies with said Rule. The Company will file with the Commission pursuant to Rule 424(b) under the Securities Act, and the rules and regulations (the “</w:t>
      </w:r>
      <w:r>
        <w:rPr>
          <w:rFonts w:ascii="Times New Roman;Times;Serif" w:hAnsi="Times New Roman;Times;Serif"/>
          <w:b/>
          <w:i w:val="false"/>
          <w:caps w:val="false"/>
          <w:smallCaps w:val="false"/>
          <w:sz w:val="20"/>
        </w:rPr>
        <w:t>Rules and Regulations</w:t>
      </w:r>
      <w:r>
        <w:rPr>
          <w:rFonts w:ascii="Times New Roman;Times;Serif" w:hAnsi="Times New Roman;Times;Serif"/>
          <w:b w:val="false"/>
          <w:i w:val="false"/>
          <w:caps w:val="false"/>
          <w:smallCaps w:val="false"/>
          <w:sz w:val="20"/>
        </w:rPr>
        <w:t>”) of the Commission promulgated thereunder, a supplement to the form of prospectus included in such registration statement relating to the placement of the Placement Agent Securities and the plan of distribution thereof and has advised the Placement Agent of all further information (financial and other) with respect to the Company required to be set forth therein. Such registration statement, including the exhibits thereto, as amended at the date of this Agreement, is hereinafter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such prospectus in the form in which it appears in the Registration Statement is hereinafter called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the supplemented form of prospectus, in the form in which it will be filed with the Commission pursuant to Rule 424(b) (including the Base Prospectus as so supplemented) is hereinafter called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Any reference in this Agreement to the Registration Statement, the Base Prospectus or the Prospectus Supplement shall be deemed to refer to and include the documents incorporated by reference therein (the “</w:t>
      </w:r>
      <w:r>
        <w:rPr>
          <w:rFonts w:ascii="Times New Roman;Times;Serif" w:hAnsi="Times New Roman;Times;Serif"/>
          <w:b/>
          <w:i w:val="false"/>
          <w:caps w:val="false"/>
          <w:smallCaps w:val="false"/>
          <w:sz w:val="20"/>
        </w:rPr>
        <w:t>Incorporated Documents</w:t>
      </w:r>
      <w:r>
        <w:rPr>
          <w:rFonts w:ascii="Times New Roman;Times;Serif" w:hAnsi="Times New Roman;Times;Serif"/>
          <w:b w:val="false"/>
          <w:i w:val="false"/>
          <w:caps w:val="false"/>
          <w:smallCaps w:val="false"/>
          <w:sz w:val="20"/>
        </w:rPr>
        <w:t>”) pursuant to Item 6 of Form F-3 which were filed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No stop order suspending the effectiveness of the Registration Statement or the use of the Base Prospectus or the Prospectus Supplement has been issued, and no proceeding for any such purpose is pending or has been initiated or, to the Company’s knowledge, is threatened by the Commission. For purposes of this Agreement,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Registration Statement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and the Prospectus Supplement, each as of its respective date, complied or will comply in all material respects with the Securities Act and the Exchange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the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the light of the circumstances under which they were made not misleading; and any further documents so filed and incorporated by reference in the Base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the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Transaction Documents,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Base Prospectus, or Prospectus Supplement, or to be filed as exhibits or schedules to the Registration Statement, which (x) have not been described or filed as required or (y) will not be filed within the requisite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is eligible to use Free Writing Prospectuses in connection with the Placement pursuant to Rules 164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by the Company complies or will comply in all material respects with the requirements of the Securities Act and the applicable rules and regulations of the Commission thereunder. The Company will not, without the prior consent of the Placement Agent,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has filed all reports, schedules, forms, statements or other documents required to be filed by the Company under the Securities Act or Exchange Act, during the three years preceding the date hereof (or such shorter period as the Company was required by law or regulation to file such material) (the foregoing materials, including the exhibits thereto and documents incorporated by reference therein, the “</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For the twelve months preceding the date hereof, the Company has filed the SEC Reports on a timely basis (including any valid extension of such time of filing provided under Rule 12b-5 or under coronavirus-related relief by the SEC) and has filed any such SEC Reports prior to the expiration of any such extension. As of their respective filing or amendment dates, the SEC Reports complied in all material respects with the requirements of the Exchange Act and the rules and regulations of the Commission promulgated thereunder; and as of their respective filing or amendment dates, the SEC Reports did not contain any untrue statement of a material fact or omit to state any material fact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There are no affiliations with any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member firm among the Company’s officers, directors or, to the knowledge of the Company, any ten percent (10%) or greater shareholder of the Company, except as set forth in the Registration Statement and the SEC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delivered or made available, or will as promptly as practicable deliver or make available, to the Placement Agent complete conformed copies of the Registration Statement and of each consent and certificate of experts, as applicable, filed as a part thereof, and conformed copies of the Registration Statement (without exhibits), the Base Prospectus, and the Prospectus Supplement,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Placement Agent Securities pursuant to the Placements other than the Transaction Documents, the Base Prospectus, the Prospectus Supplement, the Registration Statement, copies of the documents incorporated by reference therein and any other materials permitted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will advise the Placement Agent promptly after it receives notice thereof of the time when any amendment to the Registration Statement has been filed or becomes effective or any supplement to the Base Prospectus or the Prospectus Supplement has been filed and will furnish the Placement Agent with copies thereof, the parties acknowledging that such obligation is satisfied by filing such materials on the EDGAR system of the SEC. The Company will file promptly all reports and any definitive proxy or information statements required to be filed by the Company with the Commission pursuant to Section 13(a), 14 or 15(d) of the Exchange Act subsequent to the date of the Prospectus Supplement and for so long as the delivery of a prospectus is required in connection with the Placement. The Company will advise the Placement Agent, promptly after it receives notice thereof (i) 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Base Prospectus or the final Prospectus or any prospectus supplement or any amendment or supplement thereto or any post-effective amendment to the Registration Statement, of the suspension of the qualification of any of the Placement Agent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best efforts to confirm that any filings made by the Company under such Rule 424(b) are received in a timely manner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will cooperate with the Placement Agent and the Purchasers in endeavoring to qualify the Placement Agent Securities for sale under the securities laws of such jurisdictions (United States and foreign) as the Placement Agent and the Purchasers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Placement Agent Securities. The Company will advise the Placement Agent promptly of the suspension of the qualification or registration of (or any such exemption relating to) the Placement Agent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will comply with the Securities Act and the Exchange Act, and the rules and regulations of the Commission thereunder, so as to permit the completion of the distribution of the Placement Agent Securities as contemplated in this Agreement, the Incorporated Documents and any Prospectus. If during the period in which a prospectus is required by law to be delivered in connection with the distribution of any Securities contemplated by the Incorporated Documents or any Prospectus (the “</w:t>
      </w:r>
      <w:r>
        <w:rPr>
          <w:rFonts w:ascii="Times New Roman;Times;Serif" w:hAnsi="Times New Roman;Times;Serif"/>
          <w:b/>
          <w:i w:val="false"/>
          <w:caps w:val="false"/>
          <w:smallCaps w:val="false"/>
          <w:sz w:val="20"/>
        </w:rPr>
        <w:t>Prospectus Delivery Period</w:t>
      </w:r>
      <w:r>
        <w:rPr>
          <w:rFonts w:ascii="Times New Roman;Times;Serif" w:hAnsi="Times New Roman;Times;Serif"/>
          <w:b w:val="false"/>
          <w:i w:val="false"/>
          <w:caps w:val="false"/>
          <w:smallCaps w:val="false"/>
          <w:sz w:val="20"/>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Placement, the Company will furnish the Placement Agent with a copy of such proposed amendment or supplement and will not file any such amendment or supplement to which the Placement Agent reasonably objects.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During the Prospectus Delivery Period, the Company will duly file, on a timely basis, with the Commission and the Trading Market all reports and documents required to be filed under the Exchange Act within the time periods and in the manner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will not take, directly or indirectly, any action designed to cause or result in, or that has constituted or might reasonably be expected to constitute, the stabilization or manipulation of the price of any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any of the conditions specified in this Section 1(B) shall not have been fulfilled when and as provided in this Agreement, or if any of the opinions and certificates mentioned above or elsewhere in this Agreement shall not be reasonably satisfactory in form and substance to the Placement Agent and its counsel, this Agreement and all obligations of the Placement Agent hereunder may be canceled at, or at any time prior to, the Closing Date by the Placement Agent. Notice of such cancellation shall be given to the Company in writing or by telephone or facsimile confirmed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REPRESENTATIONS OF THE PLACEMENT AGENT</w:t>
      </w:r>
      <w:r>
        <w:rPr>
          <w:rFonts w:ascii="Times New Roman;Times;Serif" w:hAnsi="Times New Roman;Times;Serif"/>
          <w:b w:val="false"/>
          <w:i w:val="false"/>
          <w:caps w:val="false"/>
          <w:smallCaps w:val="false"/>
          <w:sz w:val="20"/>
        </w:rPr>
        <w:t>. The Placement Agent represents and warrants that it (i) is a member in good standing of FINRA, (ii) is registered as a broker/dealer under the Exchange Act, (iii) is licensed as a broker/dealer under the laws of the States applicable to the offers and sales of the Placement Agent Securities by the Placement Agent, (iv) is and will be a corporate entity validly existing under the laws of its place of formation,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COMPENSATION; OTHER ARRANGEMENTS</w:t>
      </w:r>
      <w:r>
        <w:rPr>
          <w:rFonts w:ascii="Times New Roman;Times;Serif" w:hAnsi="Times New Roman;Times;Serif"/>
          <w:b w:val="false"/>
          <w:i w:val="false"/>
          <w:caps w:val="false"/>
          <w:smallCaps w:val="false"/>
          <w:sz w:val="20"/>
        </w:rPr>
        <w:t>. In consideration of the services to be provided for hereunder by the Placement Agent, the Company shall pay to the Placement Agent the following compensation with respect to the Placement Agent Securities which the Placement Agent is placing: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cash fee (the “</w:t>
      </w:r>
      <w:r>
        <w:rPr>
          <w:rFonts w:ascii="Times New Roman;Times;Serif" w:hAnsi="Times New Roman;Times;Serif"/>
          <w:b/>
          <w:i w:val="false"/>
          <w:caps w:val="false"/>
          <w:smallCaps w:val="false"/>
          <w:sz w:val="20"/>
        </w:rPr>
        <w:t>Cash Fee</w:t>
      </w:r>
      <w:r>
        <w:rPr>
          <w:rFonts w:ascii="Times New Roman;Times;Serif" w:hAnsi="Times New Roman;Times;Serif"/>
          <w:b w:val="false"/>
          <w:i w:val="false"/>
          <w:caps w:val="false"/>
          <w:smallCaps w:val="false"/>
          <w:sz w:val="20"/>
        </w:rPr>
        <w:t>”) equal to seven percent (7.0%) of the aggregate gross proceeds raised in the Placement. The Cash Fee shall be paid at the closing of the Placement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Notwithstanding the foregoing, if any investors sourced directly by the Company (the “</w:t>
      </w:r>
      <w:r>
        <w:rPr>
          <w:rFonts w:ascii="Times New Roman;Times;Serif" w:hAnsi="Times New Roman;Times;Serif"/>
          <w:b/>
          <w:i w:val="false"/>
          <w:caps w:val="false"/>
          <w:smallCaps w:val="false"/>
          <w:sz w:val="20"/>
        </w:rPr>
        <w:t>Pre-Existing Investors</w:t>
      </w:r>
      <w:r>
        <w:rPr>
          <w:rFonts w:ascii="Times New Roman;Times;Serif" w:hAnsi="Times New Roman;Times;Serif"/>
          <w:b w:val="false"/>
          <w:i w:val="false"/>
          <w:caps w:val="false"/>
          <w:smallCaps w:val="false"/>
          <w:sz w:val="20"/>
        </w:rPr>
        <w:t>”) participate in the Placement, no Cash Fee shall be payable with respect to the aggregate gross proceeds raised from such Pre-Existing Investors. “</w:t>
      </w:r>
      <w:r>
        <w:rPr>
          <w:rFonts w:ascii="Times New Roman;Times;Serif" w:hAnsi="Times New Roman;Times;Serif"/>
          <w:b/>
          <w:i w:val="false"/>
          <w:caps w:val="false"/>
          <w:smallCaps w:val="false"/>
          <w:sz w:val="20"/>
        </w:rPr>
        <w:t>Pre-Existing Investors</w:t>
      </w:r>
      <w:r>
        <w:rPr>
          <w:rFonts w:ascii="Times New Roman;Times;Serif" w:hAnsi="Times New Roman;Times;Serif"/>
          <w:b w:val="false"/>
          <w:i w:val="false"/>
          <w:caps w:val="false"/>
          <w:smallCaps w:val="false"/>
          <w:sz w:val="20"/>
        </w:rPr>
        <w:t>” shall mean any investor that satisfies any of the following criteria: (i) a shareholder of record holding ordinary shares of the Company as of the date hereof; (ii) an investor that is directly and proactively sourced by the Company’s management (excluding any sourcing through the Placement Agent’s roadshow, or other form of marketing efforts), provided that the Company has provided a written list of such prospective investor to the Placement Agent prior to any substantive solicitation or contact; and (iii) any director, officer, general partner, managing member, or entity controlled by or under common control of any of the foregoing persons of an investor described in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compliance with FINRA Rule 5110(f)(2)(D), the Company also agrees to reimburse the Placement Agent for all reasonable travel and other out-of-pocket expenses, including the reasonable fees, costs and disbursements of its legal counsel, in an amount not to exceed an aggregate of $100,000. The Company will reimburse the Placement Agent directly as soon as applicable once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Placement Agent reserves the right to reduce any item of its compensation or adjust (in the Company’s favor) the terms thereof as specified herein in the event that a determination shall be made by FINRA to the effect that the Placement Agent’s aggregate compensation is in excess of FINRA’s rules and regulations or that the terms thereof require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agrees to the indemnification and other agreements set forth in the Indemnification Provisions (the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the provisions of which are incorporated herein by reference and shall survive the termination or expiration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ENGAGEMENT TERM</w:t>
      </w:r>
      <w:r>
        <w:rPr>
          <w:rFonts w:ascii="Times New Roman;Times;Serif" w:hAnsi="Times New Roman;Times;Serif"/>
          <w:b w:val="false"/>
          <w:i w:val="false"/>
          <w:caps w:val="false"/>
          <w:smallCaps w:val="false"/>
          <w:sz w:val="20"/>
        </w:rPr>
        <w:t>. The Placement Agent’s engagement hereunder shall be until the final Closing Date of the Placement (such date,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and the period of time during which this Agreement remains in effect is referred to herein as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xml:space="preserve">”). Notwithstanding anything to the contrary contained herein, the provisions concerning the Company’s obligation to pay any fees actually earned pursuant to Section 3 hereof and the provisions concerning confidentiality, indemnification and contribution contained herein and the Company’s obligations contained in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xml:space="preserve"> will survive any expiration or termination of this Agreement. If this Agreement is terminated prior to the completion of the Placement, all fees and expense reimbursements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PLACEMENT AGENT’S INFORMATION</w:t>
      </w:r>
      <w:r>
        <w:rPr>
          <w:rFonts w:ascii="Times New Roman;Times;Serif" w:hAnsi="Times New Roman;Times;Serif"/>
          <w:b w:val="false"/>
          <w:i w:val="false"/>
          <w:caps w:val="false"/>
          <w:smallCaps w:val="false"/>
          <w:sz w:val="20"/>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xml:space="preserve">. This Agreement does not create, and shall not be construed as creating rights enforceable by any person or entity not a party hereto, except those entitled hereto by virtue of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xml:space="preserve"> hereof. The Company acknowledges and agrees that the Placement Agent is not nor shall it be construed as a fiduciary of the Company and the Placement Agent shall not have any duties or liabilities to the equity holders or the creditors of the Company or any other person by virtue of this Agreement or the retention of the Placement Agent hereunder, all of which are hereby expressly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accuracy of the statements of the Company made in any certificates pursuant to the provisions hereof, to the performance by the Company of their obligations hereunder, and to each of the following additional terms and conditions, except as otherwise disclosed to and acknowledged and waived by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Base Prospectus, the Prospectus Supplement or otherwise) shall have been complied with to the reasonable satisfaction of the Placement Agent. Any filings required to be made by the Company in connection with the Placement shall have been timely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Placement Agent shall not have discovered and disclosed to the Company on or prior to the Closing Date that the Registration Statement, the Base Prospectus, the Prospectus Supplement or any amendment or supplement thereto contains an untrue statement of a fact which, in the opinion of counsel for the Placement Agent, is material or omits to state any fact which, in the opinion of such counsel,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corporate proceedings and other legal matters incident to the authorization, form, execution, delivery and validity of each of this Agreement, the other Transaction Documents, the Placement Agent Securities, the Registration Statement, the Base Prospectus and the Prospectus Supplement and all other legal matters relating to this Agreement and the transactions contemplated hereby and thereby shall be reasonably satisfactory in all material respects to counsel for the Placement Agent and the Company shall have furnished to such counsel all documents and information that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Placement Agent shall have completed its due diligence investigation of the Company to the satisfaction of the Placement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Placement Agent shall have received from outside counsels to the Company such counsels’ written opinions, addressed to the Placement Agent and the Purchasers and dated as of the Closing Date, in form and substance reasonably satisfactory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date of this Agreement and on the Closing Date, the Placement Agent shall have received a certificate of the chief financial officer of the Company, as of each such date, addressed to the Placement Agent and in form and substance satisfactory in all respects to the Placement Agent, providing a customary certification as to such accounting or financial matters that are included or incorporated by reference in the Registration Statement or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Closing Date, Placement Agent shall have received a certificate signed by the chief executive officer of the Company, dated, as applicable, as of the date of such Closing, to the effect that, as of the date of this Agreement and as of the Closing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the Closing Date, Placement Agent shall have received from the Company a certificate of the corporate secretary of the Company, dated, as applicable, as of the date of such Closing, certifying to the organizational documents of the Company, good standing in the jurisdiction of formation of the Company and board resolutions authorizing the Placement of the Placement Agent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 shall not have sustained since the date of the latest audited financial statements included or incorporated by reference in the Registration Statement, the Base Prospectus and the Prospectus Supplement, any loss or interference with its business as a result of any fire, explosion, flood, terrorist act, epidemic or pandemic (including as a result of the coronavirus known as COVID-19), any change in general economic, political or financial conditions in the United States or elsewhere, act of war or other calamity, whether or not covered by insurance, or from any labor dispute or court or governmental action, order or decree, otherwise than as set forth in or contemplated by the Registration Statement, the Base Prospectus and the Prospectus Supplement, and (ii) since such date there shall not have been any change in the capital stock, except for reverse stock splits, ADS ratio changes or long-term debt of the Company or any change, or any development involving a prospective change, in or affecting the business, general affairs, management, financial position, shareholders’ equity, results of operations or prospects of the Company, otherwise than as set forth in or contemplated by the Registration Statement, the Base Prospectus and the Prospectus Supplement, the effect of which, in any such case described in clause (i) or (ii), is, in the judgment of the Placement Agent, so material and adverse as to make it impracticable or inadvisable to proceed with the sale or delivery of the Placement Agent Securities on the terms and in the manner contemplated by the Base Prospectus, the Prospectus Supplement and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ADSs are registered under Section 12(b) of the Exchange Act and are listed on the Nasdaq Global Market under the symbol “YXT” and, as of the Closing Date, the Company has submitted the notification of listing of additional ADSs, including the Placement Agent Securities, with The Nasdaq Stock Market LLC, and the Placement Agent Securities shall be listed for trading on the Nasdaq Global Market and reasonable evidence of such action, if available, shall have been provided to the Placement Agent. The Company shall have taken no action designed to terminate, or likely to have the effect of, terminating the registration of the ADSs under the Exchange Act or delisting or suspending the ADSs from trading on the Nasdaq Global Market, nor has the Company received any information suggesting that the Commission or the Nasdaq Global Market is contemplating terminating such registration or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have prepared and filed with the Commission a Current Report on Form 6-K with respect to the Placement, including as an exhibit thereto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have entered into a Purchase Agreement with each of the Purchasers and such agreements shall be in full force and effect and shall contain representations, warranties and covenants of the Company as agreed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apply the net proceeds from the Placement received by it in a manner consistent with the application thereof described under the caption or heading “Use of Proceeds” in the Registration Statement, the Base Prospectus, the Prospectus Supplement and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Prior to the Closing Date, the Company shall have furnished to the Placement Agent such further information, certificates and documents as the Placement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8 shall not have been fulfilled when and as required by this Agreement, or if any of the certificates, opinions, written statements or letters furnished to the Placement Agent or to Placement Agent’s counsel pursuant to this Section 8 shall not be reasonably satisfactory in form and substance to the Placement Agent and to Placement Agent’s counsel,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TAIL FINANCING.</w:t>
      </w:r>
      <w:r>
        <w:rPr>
          <w:rFonts w:ascii="Times New Roman;Times;Serif" w:hAnsi="Times New Roman;Times;Serif"/>
          <w:b w:val="false"/>
          <w:i w:val="false"/>
          <w:caps w:val="false"/>
          <w:smallCaps w:val="false"/>
          <w:sz w:val="20"/>
        </w:rPr>
        <w:t xml:space="preserve"> The Company and Univest agree that for a period of twelve (12) months from the date hereof, Univest shall be entitled to compensation commensurate with those set forth under Sections 3, from the sale of any equity, debt and/or equity derivative instruments to any investor actually introduced by Univest to the Company during the period between the date of this Agreement and the closing of the Offering (each, a “</w:t>
      </w:r>
      <w:r>
        <w:rPr>
          <w:rFonts w:ascii="Times New Roman;Times;Serif" w:hAnsi="Times New Roman;Times;Serif"/>
          <w:b/>
          <w:i w:val="false"/>
          <w:caps w:val="false"/>
          <w:smallCaps w:val="false"/>
          <w:sz w:val="20"/>
        </w:rPr>
        <w:t>Tail Financing</w:t>
      </w:r>
      <w:r>
        <w:rPr>
          <w:rFonts w:ascii="Times New Roman;Times;Serif" w:hAnsi="Times New Roman;Times;Serif"/>
          <w:b w:val="false"/>
          <w:i w:val="false"/>
          <w:caps w:val="false"/>
          <w:smallCaps w:val="false"/>
          <w:sz w:val="20"/>
        </w:rPr>
        <w:t>”), and such Tail Financing is consummated at any time within the three (3) month period from the closing date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ENTIRE AGREEMENT/MISC</w:t>
      </w:r>
      <w:r>
        <w:rPr>
          <w:rFonts w:ascii="Times New Roman;Times;Serif" w:hAnsi="Times New Roman;Times;Serif"/>
          <w:b w:val="false"/>
          <w:i w:val="false"/>
          <w:caps w:val="false"/>
          <w:smallCaps w:val="false"/>
          <w:sz w:val="20"/>
        </w:rPr>
        <w:t xml:space="preserve">. This Agreement (including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embodies the entire agreement and understanding between the parties hereto with respect to this Placement,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hereto and delivered to the other party hereto, it being understood that both parties hereto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Placement Agent (i) will keep the Confidential Information (as such term is defined below) confidential and will not (except as required by applicable law or Trading Market or other stock exchange requirement, regulation or legal process (“</w:t>
      </w:r>
      <w:r>
        <w:rPr>
          <w:rFonts w:ascii="Times New Roman;Times;Serif" w:hAnsi="Times New Roman;Times;Serif"/>
          <w:b/>
          <w:i w:val="false"/>
          <w:caps w:val="false"/>
          <w:smallCaps w:val="false"/>
          <w:sz w:val="20"/>
        </w:rPr>
        <w:t>Legal Requirement</w:t>
      </w:r>
      <w:r>
        <w:rPr>
          <w:rFonts w:ascii="Times New Roman;Times;Serif" w:hAnsi="Times New Roman;Times;Serif"/>
          <w:b w:val="false"/>
          <w:i w:val="false"/>
          <w:caps w:val="false"/>
          <w:smallCaps w:val="false"/>
          <w:sz w:val="20"/>
        </w:rPr>
        <w:t>”)), without the Company’s prior written consent, disclose to any person any Confidential Information, and (ii) will not use any Confidential Information other than in connection with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term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shall mean, all confidential, proprietary and non-public information (whether written, oral or electronic communications) furnished by the Company to the Placement Agent or its Representatives in connection with such Placement Agent’s evaluation of the Placement. The term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will not, however, include information which (i) is or becomes publicly available other than as a result of a disclosure by the Placement Agent or its Representatives in violation of this Agreement, (ii) is or becomes available to the Placement Agent or any of its Representatives on a non-confidential basis from a third-party, (iii) is known to the Placement Agent or any of its Representatives prior to disclosure by the Company or any of its Representatives, or (iv) is or has been independently developed by the Placement Agent and/or the Representatives without use of any Confidential Information furnished to it by the Company. The term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shall mean with respect to the Placement Agent, its directors, board committees, officers, employees, financial advisors, attorneys and accountants. This provision shall be in full force until the earlier of (a) the date on which the Confidential Information ceases to be confidential and (b) two years from the date hereof. Notwithstanding any of the foregoing, in the event that the Placement Agent or any of its Representatives are required by Legal Requirement to disclose any of the Confidential Information, the Placement Agent and its Representatives will furnish only that portion of the Confidential Information which the Placement Agent or its Representative, as applicable, is required to disclose by Legal Requirement as advised by counsel, and will use reasonable efforts to obtain reliable assurance that confidential treatment will be accorded the Confidential Information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PRESS ANNOUNCEMENTS</w:t>
      </w:r>
      <w:r>
        <w:rPr>
          <w:rFonts w:ascii="Times New Roman;Times;Serif" w:hAnsi="Times New Roman;Times;Serif"/>
          <w:b w:val="false"/>
          <w:i w:val="false"/>
          <w:caps w:val="false"/>
          <w:smallCaps w:val="false"/>
          <w:sz w:val="20"/>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our agreement by signing and returning to Univest the enclosed copy of this Agreement.</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60"/>
        <w:gridCol w:w="320"/>
        <w:gridCol w:w="3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UNIVEST SECURITIES,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Edric Yi Guo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CEO and Head of Investment Banking</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Address for notice</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 Rockefeller Plaza #25A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10019</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Edric Guo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yguo@univest.us</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w:t>
        <w:br/>
        <w:t>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624" w:type="dxa"/>
        <w:jc w:val="left"/>
        <w:tblInd w:w="0" w:type="dxa"/>
        <w:tblLayout w:type="fixed"/>
        <w:tblCellMar>
          <w:top w:w="0" w:type="dxa"/>
          <w:left w:w="0" w:type="dxa"/>
          <w:bottom w:w="0" w:type="dxa"/>
          <w:right w:w="0" w:type="dxa"/>
        </w:tblCellMar>
      </w:tblPr>
      <w:tblGrid>
        <w:gridCol w:w="543"/>
        <w:gridCol w:w="3946"/>
        <w:gridCol w:w="60"/>
        <w:gridCol w:w="75"/>
      </w:tblGrid>
      <w:tr>
        <w:trPr/>
        <w:tc>
          <w:tcPr>
            <w:tcW w:w="4489" w:type="dxa"/>
            <w:gridSpan w:val="2"/>
            <w:tcBorders/>
            <w:vAlign w:val="center"/>
          </w:tcPr>
          <w:p>
            <w:pPr>
              <w:pStyle w:val="TableContents"/>
              <w:bidi w:val="0"/>
              <w:spacing w:before="0" w:after="283"/>
              <w:jc w:val="left"/>
              <w:rPr>
                <w:b/>
              </w:rPr>
            </w:pPr>
            <w:r>
              <w:rPr>
                <w:b/>
              </w:rPr>
              <w:t>YXT.COM GROUP HOLDING LIMITED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4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283"/>
              <w:jc w:val="left"/>
              <w:rPr/>
            </w:pPr>
            <w:r>
              <w:rPr/>
              <w:t> </w:t>
            </w:r>
          </w:p>
        </w:tc>
        <w:tc>
          <w:tcPr>
            <w:tcW w:w="39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Xiaoyan Lu</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283"/>
              <w:jc w:val="left"/>
              <w:rPr/>
            </w:pPr>
            <w:r>
              <w:rPr/>
              <w:t> </w:t>
            </w:r>
          </w:p>
        </w:tc>
        <w:tc>
          <w:tcPr>
            <w:tcW w:w="39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Address for notice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YXT.COM GROUP HOLDING LIMITED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 501-502, No. 78 East Jinshan Road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Huqiu District, Suzhou, Jiangsu 215011</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People’s Republic of China</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Placement Agency Agreement Between YXT.COM GROUP HOLDING LIMITED and Univest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A</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Univest Securities, LLC (“Univest” or the “Lead Manager”) or together with other broker dealers registered with FINRA and caused by Univest to also act as a manager in connection with the Placements of the Placement Agent Securities (the “Lead Managers”) to be issued by YXT.COM GROUP HOLDING LIMITED (the “Company”) pursuant to the Placement Agency Agreement, dated August [__], 2026, by and between the Company and the Lead Manager(s), as it may be amended from time to time in writing (the “Agreement”), the Company hereby agrees as follows (capitalized terms used herein without definition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extent permitted by law, the Company shall indemnify the Lead Manager(s) and each of their respective affiliates, directors, officers, employees, agents and controlling persons (within the meaning of Section 15 of the Securities Act or Section 20 of the Exchange Act) against all joint or several losses, claims, damages, expenses and liabilities (or actions, including shareholder actions, in respect thereof), as the same are incurred (including the reasonable fees and expenses of counsel), relating to or arising out of its activities hereunder or pursuant to the Agreement, including, without limitation, those which arise out of or are based on (i) any untrue statement or alleged untrue statement of a material fact contained in the Registration Statement (or any amendment thereto), including the information deemed to be a part of the Registration Statement at the time of effectiveness and at any subsequent time pursuant to Rules 430A and 430B of the Securities Act and the rules and regulations thereunder, as applicable, or the omission or alleged omission therefrom of a material fact required to be stated therein or necessary to make the statements therein not misleading, (ii) any untrue statement or alleged untrue statement of a material fact contained in any Prospectus or Prospectus Supplement (or any amendment or supplement to any of the foregoing) or the omission or alleged omission therefrom of a material fact necessary in order to make the statements therein, in the light of the circumstances under which they were made, not misleading, (iii) any untrue statement or alleged untrue statement of a material fact contained in any materials or information provided to investors by, or with the approval of, the Company in connection with the marketing of the offering of the Securities, including any roadshow or investor presentations made to investors by the Company (whether in person or electronically) or the omission or alleged omission therefrom of a material fact necessary in order to make the statements therein, in the light of the circumstances under which they were made, not misleading, or (iv) in whole or in part any inaccuracy in any material respect in the representations and warranties of the Company contained herein or in the Purchase Agreement; provided however, with regard to the Lead Managers, the Company shall not be obligated to indemnify the Lead Manager(s) or such other person or entities under this Section 1 to the extent that any losses, claims, damages, expenses or liabilities (or actions in respect thereof) are found in a final judgment (not subject to appeal) by a court of competent jurisdiction to have resulted primarily and directly from the willful misconduct or gross negligence of the Lead Manager(s) in performing the services described herein, as the case may be. The Company also agrees that no Lead Manager shall have any liability (whether direct or indirect, in contract or tort or otherwise) to the Company or its security holders or creditors related to or arising out of the engagement of the Lead Manager(s) pursuant to, or the performance by the Lead Manager(s) of the services contemplated by, this Agreement except to the extent that any loss, claim, damage or liability is found in a final, non-appealable judgment by a court of competent jurisdiction to have resulted primarily from the willful misconduct or gross negligence of the Lead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Promptly after receipt by the Lead Manager(s) of notice of any claim or the commencement of any action or proceeding with respect to which the Lead Manager(s) are entitled to indemnity hereunder, the Lead Manager(s) will notify the Company in writing of such claim or of the commencement of such action or proceeding, and the Company will assume the defense of such action or proceeding and will employ counsel reasonably satisfactory to the Lead Manager(s) and will pay the fees and expenses of such counsel. Notwithstanding the preceding sentence, the Lead Manager(s) will be entitled to employ counsel separate from counsel for the Company and from any other party in such action if counsel for the Lead Manager(s) reasonably determines that it would be inappropriate under the applicable rules of professional responsibility for the same counsel to represent both the Company and the Lead Manager(s). In such event, the reasonable fees and disbursements of no more than one such separate counsel will be paid by the Company. The Company will have the exclusive right to settle the claim or proceeding provided that the Company will not settle any such claim, action or proceeding without the prior written consent of the Lead Manager(s), which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agrees to notify the Lead Manager(s) promptly of the assertion against it or any other person of any claim or the commencement of any action or proceeding relating to a transaction contemplated by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for any reason the foregoing indemnity is unavailable to the Lead Manager(s) or insufficient to hold such Lead Manager(s) harmless, then the Company shall contribute to the amount paid or payable by the Lead Manager(s), as the case may be, as a result of such losses, claims, damages or liabilities in such proportion as is appropriate to reflect not only the relative benefits received by the Company on the one hand, and the Lead Manager(s) on the other, but also the relative fault of the Company on the one hand and the Lead Manager(s)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share of the liability of the Lead Manager(s) hereunder shall not be in excess of the amount of fees actually received, or to be received, by the Lead Manager(s) under the Agreement (excluding any amounts received as reimbursement of expenses incurred by the Lead Manager(s) 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These Indemnification Provisions shall remain in full force and effect whether or not the transactions contemplated by the Agreement are completed and shall survive the termination of the Agreement, and shall be in addition to any liability that the Company might otherwise have to any indemnified party under the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60"/>
        <w:gridCol w:w="320"/>
        <w:gridCol w:w="3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UNIVEST SECURITIES,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Edric Yi Guo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CEO and Head of Investment Banking</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Address for notice</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 Rockefeller Plaza #25A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10019</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Edric Guo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yguo@univest.us</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w:t>
        <w:br/>
        <w:t>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624" w:type="dxa"/>
        <w:jc w:val="left"/>
        <w:tblInd w:w="0" w:type="dxa"/>
        <w:tblLayout w:type="fixed"/>
        <w:tblCellMar>
          <w:top w:w="0" w:type="dxa"/>
          <w:left w:w="0" w:type="dxa"/>
          <w:bottom w:w="0" w:type="dxa"/>
          <w:right w:w="0" w:type="dxa"/>
        </w:tblCellMar>
      </w:tblPr>
      <w:tblGrid>
        <w:gridCol w:w="543"/>
        <w:gridCol w:w="3946"/>
        <w:gridCol w:w="60"/>
        <w:gridCol w:w="75"/>
      </w:tblGrid>
      <w:tr>
        <w:trPr/>
        <w:tc>
          <w:tcPr>
            <w:tcW w:w="4489" w:type="dxa"/>
            <w:gridSpan w:val="2"/>
            <w:tcBorders/>
            <w:vAlign w:val="center"/>
          </w:tcPr>
          <w:p>
            <w:pPr>
              <w:pStyle w:val="TableContents"/>
              <w:bidi w:val="0"/>
              <w:spacing w:before="0" w:after="283"/>
              <w:jc w:val="left"/>
              <w:rPr>
                <w:b/>
              </w:rPr>
            </w:pPr>
            <w:r>
              <w:rPr>
                <w:b/>
              </w:rPr>
              <w:t>YXT.COM GROUP HOLDING LIMITED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4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283"/>
              <w:jc w:val="left"/>
              <w:rPr/>
            </w:pPr>
            <w:r>
              <w:rPr/>
              <w:t> </w:t>
            </w:r>
          </w:p>
        </w:tc>
        <w:tc>
          <w:tcPr>
            <w:tcW w:w="39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Xiaoyan Lu</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283"/>
              <w:jc w:val="left"/>
              <w:rPr/>
            </w:pPr>
            <w:r>
              <w:rPr/>
              <w:t> </w:t>
            </w:r>
          </w:p>
        </w:tc>
        <w:tc>
          <w:tcPr>
            <w:tcW w:w="39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Address for notice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YXT.COM GROUP HOLDING LIMITED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 501-502, No. 78 East Jinshan Road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Huqiu District, Suzhou, Jiangsu 215011</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People’s Republic of China</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3300d1_ex5-1.htm"/>
      <w:bookmarkStart w:id="5" w:name="kstm2623300d1_ex51"/>
      <w:bookmarkEnd w:id="4"/>
      <w:bookmarkEnd w:id="5"/>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r>
        <w:rPr/>
        <w:t> </w:t>
      </w:r>
    </w:p>
    <w:p>
      <w:pPr>
        <w:pStyle w:val="TextBody"/>
        <w:bidi w:val="0"/>
        <w:spacing w:before="0" w:after="283"/>
        <w:jc w:val="left"/>
        <w:rPr/>
      </w:pPr>
      <w:r>
        <w:rPr/>
        <w:t> </w:t>
      </w:r>
    </w:p>
    <w:tbl>
      <w:tblPr>
        <w:tblW w:w="2305" w:type="dxa"/>
        <w:jc w:val="left"/>
        <w:tblInd w:w="0" w:type="dxa"/>
        <w:tblLayout w:type="fixed"/>
        <w:tblCellMar>
          <w:top w:w="0" w:type="dxa"/>
          <w:left w:w="0" w:type="dxa"/>
          <w:bottom w:w="0" w:type="dxa"/>
          <w:right w:w="0" w:type="dxa"/>
        </w:tblCellMar>
      </w:tblPr>
      <w:tblGrid>
        <w:gridCol w:w="1535"/>
        <w:gridCol w:w="770"/>
      </w:tblGrid>
      <w:tr>
        <w:trPr/>
        <w:tc>
          <w:tcPr>
            <w:tcW w:w="153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Partners:</w:t>
            </w:r>
          </w:p>
        </w:tc>
        <w:tc>
          <w:tcPr>
            <w:tcW w:w="77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Paul Aherne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Brett Basdeo</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John Cartwright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John Crook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Mark Cummings</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Natalie Curtis</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James Gaden</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Robert Gregory</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Kevin Ho</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Jason Hung</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Kristen Kwok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Wing Lam</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Jolin Lin</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Thomas Pugh</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Andrew Randall</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Victoria Raymond</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Wei Ching Teo</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6460" w:type="dxa"/>
        <w:jc w:val="left"/>
        <w:tblInd w:w="0" w:type="dxa"/>
        <w:tblLayout w:type="fixed"/>
        <w:tblCellMar>
          <w:top w:w="0" w:type="dxa"/>
          <w:left w:w="0" w:type="dxa"/>
          <w:bottom w:w="0" w:type="dxa"/>
          <w:right w:w="0" w:type="dxa"/>
        </w:tblCellMar>
      </w:tblPr>
      <w:tblGrid>
        <w:gridCol w:w="3575"/>
        <w:gridCol w:w="2885"/>
      </w:tblGrid>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 August 2026</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Our Ref: KH/BLUI/U0683-H27504</w:t>
            </w:r>
          </w:p>
        </w:tc>
      </w:tr>
      <w:tr>
        <w:trPr/>
        <w:tc>
          <w:tcPr>
            <w:tcW w:w="3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YXT.COM GROUP HOLDING LIMITED</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 Walkers Corporate Limited</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190 Elgin Avenue</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George Town</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Grand Cayman KY1-9008</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Dear Sirs or Madam</w:t>
            </w:r>
          </w:p>
        </w:tc>
        <w:tc>
          <w:tcPr>
            <w:tcW w:w="288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YXT.COM GROUP HOLDING LIMITED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legal advisers to </w:t>
      </w:r>
      <w:r>
        <w:rPr>
          <w:rFonts w:ascii="Times New Roman;Times;Serif" w:hAnsi="Times New Roman;Times;Serif"/>
          <w:b/>
          <w:i w:val="false"/>
          <w:caps w:val="false"/>
          <w:smallCaps w:val="false"/>
          <w:sz w:val="20"/>
        </w:rPr>
        <w:t>YXT.COM GROUP HOLDING LIMITED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for issuance and sale from time to time, by the Company of (i) Class A ordinary shares, par value US$0.0001 each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including Ordinary Shares represented by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ADS representing thirty Ordinary Shares, (ii) preferred shares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and together with the Ordinary Shares and ADSs, “</w:t>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t>”) (iii) warrants to purchase Equity Securities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(iv) subscription rights to purchase Equity Securities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and/or (v) units consisting of one or more of the foregoing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in each case as contemplated by the Form F-3 Registration Statement (File No. 333-292185)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under the U.S. Securities Act of 1933, as amended,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This opinion is furnished in connection with the offering and sale by the Company of 500,000 ADSs, representing 15,000,000 Ordinary Shares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pursuant to the securities purchase agreement dated 14 August 2026 between the Company and the purchaser named therein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the Company’s prospectus supplement dated 14 August 2026 to the prospectus dated 29 June 2026 forming part of the Registration Statement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We are furnishing this opinion as Exhibit 5.1 to the Company’s report on Form 6-K furnished to the Commission on or about 17 August 2026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which is incorporated by reference into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originals, copies or translations of the documents listed in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out in Schedule 2, which we have not independently verified.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Registration Statement nor upon matters of fact or the commercial terms of the transactions contemplated by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 (Hong Kong)</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i w:val="false"/>
          <w:caps w:val="false"/>
          <w:smallCaps w:val="false"/>
          <w:sz w:val="20"/>
        </w:rPr>
        <w:t xml:space="preserve">滙嘉律師事務所 </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香港</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+852 2284 4566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+852 2284 4560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Bermuda | British Virgin Islands | Cayman Islands | Dubai | Guernsey | Hong Kong | Ireland | Jersey | London | Singapore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*England and Wales; **BVI; ***Cayman Islands; ****New South Wales (Australia); *****Victoria (Australia); ******Bermuda; *******Singapore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Based upon the foregoing examinations and assumptions and upon such searches as we have conducted and having regard to legal considerations which we consider relevant, and subject to the qualifications set out in Schedule 3, and under the laws of the Cayman Islands, we give the following opinions in relation to the matters set out below.</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4" w:type="dxa"/>
            <w:tcBorders/>
            <w:vAlign w:val="center"/>
          </w:tcPr>
          <w:p>
            <w:pPr>
              <w:pStyle w:val="TableContents"/>
              <w:bidi w:val="0"/>
              <w:spacing w:before="0" w:after="283"/>
              <w:jc w:val="both"/>
              <w:rPr/>
            </w:pPr>
            <w:r>
              <w:rPr/>
              <w:t>The Company is an exempted company duly incorporated with limited liability, validly existing under the laws of the Cayman Islands and in good standing with the Registrar of Companies in the Cayman Islands (the “</w:t>
            </w:r>
            <w:r>
              <w:rPr>
                <w:b/>
              </w:rPr>
              <w:t>Registrar</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4" w:type="dxa"/>
            <w:tcBorders/>
            <w:vAlign w:val="center"/>
          </w:tcPr>
          <w:p>
            <w:pPr>
              <w:pStyle w:val="TableContents"/>
              <w:bidi w:val="0"/>
              <w:spacing w:before="0" w:after="283"/>
              <w:jc w:val="both"/>
              <w:rPr/>
            </w:pPr>
            <w:r>
              <w:rPr/>
              <w:t>Based solely on our review of the Memorandum and Articles, the authorised share capital of the Company is US$50,000 divided into (a) 483,068,176 Class A ordinary shares with a par value of US$0.0001 each, and (b) 16,931,824 Class B ordinary shares with a par value of US$0.0001 each. As at the date of this opinion the Company has sufficient authorised but unissued Ordinary Shares to permit the issue of the Offered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9" w:type="dxa"/>
            <w:tcBorders/>
            <w:vAlign w:val="center"/>
          </w:tcPr>
          <w:p>
            <w:pPr>
              <w:pStyle w:val="TableContents"/>
              <w:bidi w:val="0"/>
              <w:spacing w:before="0" w:after="283"/>
              <w:jc w:val="both"/>
              <w:rPr/>
            </w:pPr>
            <w:r>
              <w:rPr/>
              <w:t>With respect to Ordinary Shares, Preferred Shares, ADSs, Warrants, Rights and Units of the Company (including Ordinary Shares represented by ADSs), when (a) the board of directors of the Company (the “</w:t>
            </w:r>
            <w:r>
              <w:rPr>
                <w:b/>
              </w:rPr>
              <w:t>Board</w:t>
            </w:r>
            <w:r>
              <w:rPr/>
              <w:t>”) has taken all necessary corporate action to approve the issuance thereof, the terms of the offering thereof and related matters; (b) the provisions of the applicable definitive purchase, underwriting or similar agreement approved by the Board have been satisfied and payment of the consideration specified therein (being not less than their par value) has been made; and (c) valid book-entry notations are made in the register of members of the Company, then such Ordinary Shares, Preferred Shares, ADSs, Warrants, Rights or Units of the Company as the case may be, will have been duly authorised and validly issued, fully paid and non-assessable (meaning that no additional sums may be levied on the holder thereof by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4" w:type="dxa"/>
            <w:tcBorders/>
            <w:vAlign w:val="center"/>
          </w:tcPr>
          <w:p>
            <w:pPr>
              <w:pStyle w:val="TableContents"/>
              <w:bidi w:val="0"/>
              <w:spacing w:before="0" w:after="283"/>
              <w:jc w:val="both"/>
              <w:rPr/>
            </w:pPr>
            <w:r>
              <w:rPr/>
              <w:t>The Offered Shares have been duly authorised for issue and, when issued and delivered against payment therefor in accordance with the Purchase Agreement and the Resolutions, and when the name of the person to whom the Offered Shares are issued has been entered in the register of members of the Company as the holder thereof, the Offered Shares will be validly issued, fully paid and non-assessable (meaning that no additional sums may be levied on the holder thereof by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in, and the filing hereof, as an exhibit to the Form 6-K and the Registration Statement, and to the reference to our firm under the headings "Taxation – Cayman Islands Taxation", “Legal Matters” and "Enforceability of Civil Liabilities" in the prospectus and the Prospectus Supplement included in or forming part of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without our prior written consent, save that this opinion may also be relied upon by Univest Securities, LLC, as placement agent, and by the purchaser under the Purchase Agreement, in connection with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Walkers (HONG KONG)</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tc>
      </w:tr>
    </w:tbl>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LIST OF DOCUMENTS EXAMINED</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37"/>
        <w:gridCol w:w="130"/>
        <w:gridCol w:w="10038"/>
      </w:tblGrid>
      <w:tr>
        <w:trPr/>
        <w:tc>
          <w:tcPr>
            <w:tcW w:w="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83"/>
              <w:jc w:val="both"/>
              <w:rPr/>
            </w:pPr>
            <w:r>
              <w:rPr/>
              <w:t>The Certificate of Incorporation dated 20 January 2017, the Certificate of Incorporation on Change of Name dated 9 July 2021, the Eighth Amended and Restated Memorandum and Articles of Association as adopted by a special resolution passed on 1 July 2024 conditional upon and effective immediately prior to the completion of the Company's initial public offering of ADSs representing its Ordinary Shares (the "</w:t>
            </w:r>
            <w:r>
              <w:rPr>
                <w:b/>
              </w:rPr>
              <w:t>Memorandum and Articles</w:t>
            </w:r>
            <w:r>
              <w:rPr/>
              <w:t>"), the register of members of the Company printed on 17 August 2026 (the "</w:t>
            </w:r>
            <w:r>
              <w:rPr>
                <w:b/>
              </w:rPr>
              <w:t>Register of Members</w:t>
            </w:r>
            <w:r>
              <w:rPr/>
              <w:t>"), in each case, copies of which have been provided to us by the Company's registered office in the Cayman Islands (together the "</w:t>
            </w:r>
            <w:r>
              <w:rPr>
                <w:b/>
              </w:rPr>
              <w:t>Company Records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12" w:type="dxa"/>
            <w:tcBorders/>
            <w:vAlign w:val="center"/>
          </w:tcPr>
          <w:p>
            <w:pPr>
              <w:pStyle w:val="TableContents"/>
              <w:bidi w:val="0"/>
              <w:spacing w:before="0" w:after="283"/>
              <w:jc w:val="both"/>
              <w:rPr/>
            </w:pPr>
            <w:r>
              <w:rPr/>
              <w:t>The Cayman Online Registry Information System (CORIS), the Cayman Islands' General Registry's online database, searched on 16 August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14" w:type="dxa"/>
            <w:tcBorders/>
            <w:vAlign w:val="center"/>
          </w:tcPr>
          <w:p>
            <w:pPr>
              <w:pStyle w:val="TableContents"/>
              <w:bidi w:val="0"/>
              <w:spacing w:before="0" w:after="283"/>
              <w:jc w:val="both"/>
              <w:rPr/>
            </w:pPr>
            <w:r>
              <w:rPr/>
              <w:t>A copy of a Certificate of Good Standing dated 6 August 2026 in respect of the Company issued by the Registrar (the "</w:t>
            </w:r>
            <w:r>
              <w:rPr>
                <w:rFonts w:ascii="Times New Roman;Times;Serif" w:hAnsi="Times New Roman;Times;Serif"/>
                <w:b/>
              </w:rPr>
              <w:t>Certificate of Good Standing</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9" w:type="dxa"/>
            <w:tcBorders/>
            <w:vAlign w:val="center"/>
          </w:tcPr>
          <w:p>
            <w:pPr>
              <w:pStyle w:val="TableContents"/>
              <w:bidi w:val="0"/>
              <w:spacing w:before="0" w:after="283"/>
              <w:jc w:val="both"/>
              <w:rPr/>
            </w:pPr>
            <w:r>
              <w:rPr/>
              <w:t>Copies of executed written resolutions of the Board of Directors of the Company dated 27 November 2025 and 14 August 2026, the latter approving, inter alia, the offering of the Offered Shares, the Purchase Agreement and the issue and allotment of the Offered Shares (together, the "</w:t>
            </w:r>
            <w:r>
              <w:rPr>
                <w:b/>
              </w:rPr>
              <w:t>Resolutions</w:t>
            </w:r>
            <w:r>
              <w:rPr/>
              <w:t>").</w:t>
            </w:r>
          </w:p>
        </w:tc>
      </w:tr>
    </w:tbl>
    <w:p>
      <w:pPr>
        <w:pStyle w:val="TextBody"/>
        <w:bidi w:val="0"/>
        <w:spacing w:before="0" w:after="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4445" w:type="dxa"/>
            <w:tcBorders/>
            <w:vAlign w:val="center"/>
          </w:tcPr>
          <w:p>
            <w:pPr>
              <w:pStyle w:val="TableContents"/>
              <w:bidi w:val="0"/>
              <w:spacing w:before="0" w:after="283"/>
              <w:jc w:val="both"/>
              <w:rPr>
                <w:b w:val="false"/>
              </w:rPr>
            </w:pPr>
            <w:r>
              <w:rPr>
                <w:b w:val="false"/>
              </w:rPr>
              <w:t>An executed copy of the Purchase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4"/>
        <w:gridCol w:w="9992"/>
      </w:tblGrid>
      <w:tr>
        <w:trPr/>
        <w:tc>
          <w:tcPr>
            <w:tcW w:w="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2" w:type="dxa"/>
            <w:tcBorders/>
            <w:vAlign w:val="center"/>
          </w:tcPr>
          <w:p>
            <w:pPr>
              <w:pStyle w:val="TableContents"/>
              <w:bidi w:val="0"/>
              <w:spacing w:before="0" w:after="283"/>
              <w:jc w:val="both"/>
              <w:rPr/>
            </w:pPr>
            <w:r>
              <w:rPr/>
              <w:t>The Prospectus Supplement, filed by the Company with the Commission on or about 14 August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ASSUMPTIONS</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4" w:type="dxa"/>
            <w:tcBorders/>
            <w:vAlign w:val="center"/>
          </w:tcPr>
          <w:p>
            <w:pPr>
              <w:pStyle w:val="TableContents"/>
              <w:bidi w:val="0"/>
              <w:spacing w:before="0" w:after="283"/>
              <w:jc w:val="both"/>
              <w:rPr/>
            </w:pPr>
            <w:r>
              <w:rPr/>
              <w:t>All authorisations, approvals, consents, licences and exemptions required by, and all filings and other steps required of each of the parties to the Registration Statement outside the Cayman Islands to ensure the legality, validity and enforceability of the Registration Statement have been or will be duly obtained, made or fulfilled and are and will remain in full force and effect and any conditions to which they are subject have been satisfied.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4" w:type="dxa"/>
            <w:tcBorders/>
            <w:vAlign w:val="center"/>
          </w:tcPr>
          <w:p>
            <w:pPr>
              <w:pStyle w:val="TableContents"/>
              <w:bidi w:val="0"/>
              <w:spacing w:before="0" w:after="283"/>
              <w:jc w:val="both"/>
              <w:rPr/>
            </w:pPr>
            <w:r>
              <w:rPr/>
              <w:t>The Resolutions are and shall remain in full force and effect and have not been and will not be rescinded or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9" w:type="dxa"/>
            <w:tcBorders/>
            <w:vAlign w:val="center"/>
          </w:tcPr>
          <w:p>
            <w:pPr>
              <w:pStyle w:val="TableContents"/>
              <w:bidi w:val="0"/>
              <w:spacing w:before="0" w:after="283"/>
              <w:jc w:val="both"/>
              <w:rPr/>
            </w:pPr>
            <w:r>
              <w:rPr/>
              <w:t>The originals of all documents examined in connection with this opinion are authentic.  All documents purporting to be sealed have been so sealed.  All copies are complete and conform to their originals. Any translations are a complete and accurate translation of the original document they purport to translate.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1" w:type="dxa"/>
            <w:tcBorders/>
            <w:vAlign w:val="center"/>
          </w:tcPr>
          <w:p>
            <w:pPr>
              <w:pStyle w:val="TableContents"/>
              <w:bidi w:val="0"/>
              <w:spacing w:before="0" w:after="283"/>
              <w:jc w:val="both"/>
              <w:rPr/>
            </w:pPr>
            <w:r>
              <w:rPr/>
              <w:t>The Registration Statement and the documents or agreements referred to therein have been or will be duly authorised, executed and delivered by or on behalf of all relevant parties prior to the issue and sale of the Equity Securities, Warrants, Rights and Units and will be legal, valid, binding and enforceable against all relevant parties in accordance with their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11" w:type="dxa"/>
            <w:tcBorders/>
            <w:vAlign w:val="center"/>
          </w:tcPr>
          <w:p>
            <w:pPr>
              <w:pStyle w:val="TableContents"/>
              <w:bidi w:val="0"/>
              <w:spacing w:before="0" w:after="283"/>
              <w:jc w:val="both"/>
              <w:rPr/>
            </w:pPr>
            <w:r>
              <w:rPr/>
              <w:t>We have relied upon the statements and representations of directors, officers and other representatives of the Company as to factual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12" w:type="dxa"/>
            <w:tcBorders/>
            <w:vAlign w:val="center"/>
          </w:tcPr>
          <w:p>
            <w:pPr>
              <w:pStyle w:val="TableContents"/>
              <w:bidi w:val="0"/>
              <w:spacing w:before="0" w:after="283"/>
              <w:jc w:val="both"/>
              <w:rPr/>
            </w:pPr>
            <w:r>
              <w:rPr/>
              <w:t>On the date of issue of the Ordinary Shares and Preferred Shares the Company shall have sufficient authorised but unissued share capital available.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29" w:type="dxa"/>
            <w:tcBorders/>
            <w:vAlign w:val="center"/>
          </w:tcPr>
          <w:p>
            <w:pPr>
              <w:pStyle w:val="TableContents"/>
              <w:bidi w:val="0"/>
              <w:spacing w:before="0" w:after="283"/>
              <w:jc w:val="both"/>
              <w:rPr/>
            </w:pPr>
            <w:r>
              <w:rPr/>
              <w:t>The Resolutions have been duly executed (and where by a corporate entity such execution has been duly authorised if so required) by or on behalf of each Director and the signatures and initials thereon are those of a person or persons in whose name the Resolutions have been expressed to be signed.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28" w:type="dxa"/>
            <w:tcBorders/>
            <w:vAlign w:val="center"/>
          </w:tcPr>
          <w:p>
            <w:pPr>
              <w:pStyle w:val="TableContents"/>
              <w:bidi w:val="0"/>
              <w:spacing w:before="0" w:after="283"/>
              <w:jc w:val="both"/>
              <w:rPr/>
            </w:pPr>
            <w:r>
              <w:rPr/>
              <w:t>The Company has received, or will on issue of the relevant Equity Securities, Warrants, Rights and Units receive, consideration in money or money’s worth for each share when issued, such consideration in any event not being less than the stated par or nominal value of each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28" w:type="dxa"/>
            <w:tcBorders/>
            <w:vAlign w:val="center"/>
          </w:tcPr>
          <w:p>
            <w:pPr>
              <w:pStyle w:val="TableContents"/>
              <w:bidi w:val="0"/>
              <w:spacing w:before="0" w:after="283"/>
              <w:jc w:val="both"/>
              <w:rPr/>
            </w:pPr>
            <w:r>
              <w:rPr/>
              <w:t>The Company has, or will on issue of the relevant Ordinary Shares and Preferred Shares have, issued and sold the shares in the manner contemplated by the Registration Statement and the documents or agreements referred to therein and otherwise in compliance with all applicable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04" w:type="dxa"/>
            <w:tcBorders/>
            <w:vAlign w:val="center"/>
          </w:tcPr>
          <w:p>
            <w:pPr>
              <w:pStyle w:val="TableContents"/>
              <w:bidi w:val="0"/>
              <w:spacing w:before="0" w:after="283"/>
              <w:jc w:val="both"/>
              <w:rPr/>
            </w:pPr>
            <w:r>
              <w:rPr/>
              <w:t>The Memorandum and Articles are the memorandum and articles of association of the Company and are in force at the date 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14" w:type="dxa"/>
            <w:tcBorders/>
            <w:vAlign w:val="center"/>
          </w:tcPr>
          <w:p>
            <w:pPr>
              <w:pStyle w:val="TableContents"/>
              <w:bidi w:val="0"/>
              <w:spacing w:before="0" w:after="283"/>
              <w:jc w:val="both"/>
              <w:rPr/>
            </w:pPr>
            <w:r>
              <w:rPr/>
              <w:t>The Company Records are complete and accurate and all matters required by law and the Memorandum and Articles to be recorded therein are completely and accurately so recorded.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28" w:type="dxa"/>
            <w:tcBorders/>
            <w:vAlign w:val="center"/>
          </w:tcPr>
          <w:p>
            <w:pPr>
              <w:pStyle w:val="TableContents"/>
              <w:bidi w:val="0"/>
              <w:spacing w:before="0" w:after="283"/>
              <w:jc w:val="both"/>
              <w:rPr/>
            </w:pPr>
            <w:r>
              <w:rPr/>
              <w:t>There are no records of the Company (other than the Company Records), agreements, documents or arrangements other than the documents expressly referred to herein as having been examined by us which materially affect, amend or vary the transactions envisaged in the Registration Statement or restrict the powers and authority of the directors of the Company in any way or which would affect any opinion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22" w:type="dxa"/>
            <w:tcBorders/>
            <w:vAlign w:val="center"/>
          </w:tcPr>
          <w:p>
            <w:pPr>
              <w:pStyle w:val="TableContents"/>
              <w:bidi w:val="0"/>
              <w:spacing w:before="0" w:after="283"/>
              <w:jc w:val="both"/>
              <w:rPr/>
            </w:pPr>
            <w:r>
              <w:rPr/>
              <w:t>No resolution voluntarily to wind up the Company has been adopted by the members of the Company and no event of a type which is specified in the Memorandum and Articles as giving rise to the winding up of the Company (if any) has in fact occurred.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QUALIFICATIONS</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2" w:type="dxa"/>
            <w:tcBorders/>
            <w:vAlign w:val="center"/>
          </w:tcPr>
          <w:p>
            <w:pPr>
              <w:pStyle w:val="TableContents"/>
              <w:bidi w:val="0"/>
              <w:spacing w:before="0" w:after="283"/>
              <w:jc w:val="both"/>
              <w:rPr/>
            </w:pPr>
            <w:r>
              <w:rPr/>
              <w:t>If any business of a company has been carried on with intent to defraud creditors of the company or creditors of any other person or for any fraudulent purpose, the Court may declare that any persons who were knowingly parties to the carrying on of the business of the company in such manner are liable to make such contributions, if any, to the company's assets as the Court thinks proper.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18" w:type="dxa"/>
            <w:tcBorders/>
            <w:vAlign w:val="center"/>
          </w:tcPr>
          <w:p>
            <w:pPr>
              <w:pStyle w:val="TableContents"/>
              <w:bidi w:val="0"/>
              <w:spacing w:before="0" w:after="283"/>
              <w:jc w:val="both"/>
              <w:rPr/>
            </w:pPr>
            <w:r>
              <w:rPr/>
              <w:t>The obligations of the Company may be subject to restrictions pursuant to United Nations and United Kingdom sanctions extended to the Cayman Islands by Orders in Council.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3" w:type="dxa"/>
            <w:tcBorders/>
            <w:vAlign w:val="center"/>
          </w:tcPr>
          <w:p>
            <w:pPr>
              <w:pStyle w:val="TableContents"/>
              <w:bidi w:val="0"/>
              <w:spacing w:before="0" w:after="283"/>
              <w:jc w:val="both"/>
              <w:rPr/>
            </w:pPr>
            <w:r>
              <w:rPr/>
              <w:t>Our opinion as to good standing is based solely upon receipt of the Certificate of Good Standing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0" w:type="dxa"/>
            <w:tcBorders/>
            <w:vAlign w:val="center"/>
          </w:tcPr>
          <w:p>
            <w:pPr>
              <w:pStyle w:val="TableContents"/>
              <w:bidi w:val="0"/>
              <w:spacing w:before="0" w:after="283"/>
              <w:jc w:val="both"/>
              <w:rPr/>
            </w:pPr>
            <w:r>
              <w:rPr/>
              <w:t>We express no opinion upon any provisions in the Memorandum and Articles or any document which contains a reference to any law or statute that is not a Cayman Islands law or statute.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9" w:type="dxa"/>
            <w:tcBorders/>
            <w:vAlign w:val="center"/>
          </w:tcPr>
          <w:p>
            <w:pPr>
              <w:pStyle w:val="TableContents"/>
              <w:bidi w:val="0"/>
              <w:spacing w:before="0" w:after="283"/>
              <w:jc w:val="both"/>
              <w:rPr/>
            </w:pPr>
            <w:r>
              <w:rPr/>
              <w:t>We render no opinion as to the specific enforcement as against the Company of covenants granted by the Company to do or to omit to do any action or other matter which is reserved by applicable law or the Company's constitutional documents to the members of the Company or to any other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8"/>
        <w:gridCol w:w="10040"/>
      </w:tblGrid>
      <w:tr>
        <w:trPr/>
        <w:tc>
          <w:tcPr>
            <w:tcW w:w="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40" w:type="dxa"/>
            <w:tcBorders/>
            <w:vAlign w:val="center"/>
          </w:tcPr>
          <w:p>
            <w:pPr>
              <w:pStyle w:val="TableContents"/>
              <w:bidi w:val="0"/>
              <w:spacing w:before="0" w:after="283"/>
              <w:jc w:val="both"/>
              <w:rPr/>
            </w:pPr>
            <w:r>
              <w:rPr/>
              <w:t xml:space="preserve">In the event of a misrepresentation by a company on which a member relied in agreeing to subscribe for shares in such company, the member may be entitled to rescind the share subscription agreement and thereafter claim damages against such company for any additional loss suffered as a result of the misrepresentation. Such a claim for damages will not arise unless and until the member has successfully rescinded the share subscription agreement. A member may be barred from rescinding on the grounds of delay or affirmation. The Cayman Islands Court of Appeal's judgment in </w:t>
            </w:r>
            <w:r>
              <w:rPr>
                <w:i/>
              </w:rPr>
              <w:t>Re HQP Corporation Ltd (in Official Liquidation)</w:t>
            </w:r>
            <w:r>
              <w:rPr/>
              <w:t xml:space="preserve"> and </w:t>
            </w:r>
            <w:r>
              <w:rPr>
                <w:i/>
              </w:rPr>
              <w:t>Re Direct Lending Income Feeder Fund Ltd (in Official Liquidation)</w:t>
            </w:r>
            <w:r>
              <w:rPr/>
              <w:t xml:space="preserve"> [2025] CICA (Civ) 19 determined that, </w:t>
            </w:r>
            <w:r>
              <w:rPr>
                <w:i/>
              </w:rPr>
              <w:t>inter alia</w:t>
            </w:r>
            <w:r>
              <w:rPr/>
              <w:t xml:space="preserve">, in the Cayman Islands: (a) the English case of </w:t>
            </w:r>
            <w:r>
              <w:rPr>
                <w:i/>
              </w:rPr>
              <w:t xml:space="preserve">Houldsworth v City of Glasgow Bank </w:t>
            </w:r>
            <w:r>
              <w:rPr/>
              <w:t>(1880) 5 App Cas 317 HL remains part of Cayman Islands law; and (b) it prevents any person claiming damages for misrepresentations inducing subscription for shares from proving in a liquidation in respect of that claim until all non-member creditors have been paid or provided for, but permits them to prove thereafter. It is currently uncertain whether this case will be subject to an appeal to the Judicial Committee of the Privy Council.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31" w:type="dxa"/>
            <w:tcBorders/>
            <w:vAlign w:val="center"/>
          </w:tcPr>
          <w:p>
            <w:pPr>
              <w:pStyle w:val="TableContents"/>
              <w:bidi w:val="0"/>
              <w:spacing w:before="0" w:after="283"/>
              <w:jc w:val="both"/>
              <w:rPr/>
            </w:pPr>
            <w:r>
              <w:rPr/>
              <w:t>The Company may be required to submit (or to cause to be submitted on its behalf) a notification and report to the Cayman Islands Department for International Tax Cooperation to ensure compliance with any obligations it may have under the laws of the Cayman Islands relating to the automatic exchange of financial account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8"/>
        <w:gridCol w:w="10040"/>
      </w:tblGrid>
      <w:tr>
        <w:trPr/>
        <w:tc>
          <w:tcPr>
            <w:tcW w:w="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40" w:type="dxa"/>
            <w:tcBorders/>
            <w:vAlign w:val="center"/>
          </w:tcPr>
          <w:p>
            <w:pPr>
              <w:pStyle w:val="TableContents"/>
              <w:bidi w:val="0"/>
              <w:spacing w:before="0" w:after="283"/>
              <w:jc w:val="both"/>
              <w:rPr/>
            </w:pPr>
            <w:r>
              <w:rPr/>
              <w:t>Any legal person that is a Cayman Islands company, limited liability company, limited liability partnership, limited partnership, foundation company, exempted limited partnership, or any other person that may be prescribed in regulations from time to time (a "</w:t>
            </w:r>
            <w:r>
              <w:rPr>
                <w:rFonts w:ascii="Times New Roman;Times;Serif" w:hAnsi="Times New Roman;Times;Serif"/>
                <w:b/>
              </w:rPr>
              <w:t>Legal Person</w:t>
            </w:r>
            <w:r>
              <w:rPr/>
              <w:t>") is subject to the Beneficial Ownership Transparency Act (as amended) of the Cayman Islands (the "</w:t>
            </w:r>
            <w:r>
              <w:rPr>
                <w:rFonts w:ascii="Times New Roman;Times;Serif" w:hAnsi="Times New Roman;Times;Serif"/>
                <w:b/>
              </w:rPr>
              <w:t>BOTA</w:t>
            </w:r>
            <w:r>
              <w:rPr/>
              <w:t>"). An interest that a person holds in a Legal Person consisting of a partnership interest or shares or voting rights in the Legal Person or ultimate effective control over the management of the Legal Person (a "</w:t>
            </w:r>
            <w:r>
              <w:rPr>
                <w:rFonts w:ascii="Times New Roman;Times;Serif" w:hAnsi="Times New Roman;Times;Serif"/>
                <w:b/>
              </w:rPr>
              <w:t>Relevant Interest</w:t>
            </w:r>
            <w:r>
              <w:rPr/>
              <w:t>") will be affected by a restrictions notice issued by the corporate services provider of such legal person pursuant to the BOTA (a "</w:t>
            </w:r>
            <w:r>
              <w:rPr>
                <w:rFonts w:ascii="Times New Roman;Times;Serif" w:hAnsi="Times New Roman;Times;Serif"/>
                <w:b/>
              </w:rPr>
              <w:t>Restrictions Notice</w:t>
            </w:r>
            <w:r>
              <w:rPr/>
              <w:t>") if such a notice is issued by the corporate services provider. If a Restrictions Notice is issued, then: (i) any transfer or agreement to transfer the Relevant Interest shall be void; (ii) no rights shall be exercisable in respect of the Relevant Interest; (iii) no Relevant Interests may be issued in respect of the Relevant Interest or pursuant to an offer made to the person holding the Relevant Interest; and (iv) except in a liquidation, an agreement to transfer certain rights in relation to the Relevant Interest shall be void.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0"/>
        <w:gridCol w:w="10038"/>
      </w:tblGrid>
      <w:tr>
        <w:trPr/>
        <w:tc>
          <w:tcPr>
            <w:tcW w:w="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38" w:type="dxa"/>
            <w:tcBorders/>
            <w:vAlign w:val="center"/>
          </w:tcPr>
          <w:p>
            <w:pPr>
              <w:pStyle w:val="TableContents"/>
              <w:bidi w:val="0"/>
              <w:spacing w:before="0" w:after="283"/>
              <w:jc w:val="both"/>
              <w:rPr/>
            </w:pPr>
            <w:r>
              <w:rPr/>
              <w:t>A Restrictions Notice issued in respect of a Relevant Interest that is subject to a pre-existing security interest granted to a third party who is not affiliated with the person who holds such Relevant Interest, shall not take effect. In deciding whether to send a Restrictions Notice, a corporate service provider shall have regard to the effect of the notice on the rights of persons in respect of the Relevant Interest, including third parties, persons with a security interest over the Relevant Interest, registered shareholders and other beneficial owners. Further, a corporate services provider shall, by notice, withdraw a Restrictions Notice if the corporate services provider discovers that the rights of a third party in respect of a Relevant Interest are being unfairly affected by the Restrictions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29" w:type="dxa"/>
            <w:tcBorders/>
            <w:vAlign w:val="center"/>
          </w:tcPr>
          <w:p>
            <w:pPr>
              <w:pStyle w:val="TableContents"/>
              <w:bidi w:val="0"/>
              <w:spacing w:before="0" w:after="283"/>
              <w:jc w:val="both"/>
              <w:rPr/>
            </w:pPr>
            <w:r>
              <w:rPr/>
              <w:t>The Grand Court may, on an application by any person aggrieved by a decision of a corporate services provider to issue a Restrictions Notice, make an order giving directions for the purpose of protecting the rights of third parties, persons with a security interest over a Relevant Interest, shareholders or other beneficial owners in respect of a relevant interest, if the Court is satisfied that a restrictions notice unfairly affects those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623300d1_ex10-1.htm"/>
      <w:bookmarkStart w:id="7" w:name="kstm2623300d1_ex101"/>
      <w:bookmarkEnd w:id="6"/>
      <w:bookmarkEnd w:id="7"/>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August 14, 2026, between YXT.COM GROUP HOLDING LIMITED, an exempted company incorporated with limited liability under the laws of the Cayman Islands, whose ADSs are listed on the Nasdaq Global Market under the symbol “YXT”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(as defined below), each representing thirty (30)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at the Closing and (ii) the Company’s obligations to deliver the Securities, in each case, at the Closing have been satisfied or waived, but in no event later than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hereof (or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hereof if this Agreement is signed on a day that is not a Trading Day or after 4:00 p.m. (New York City time) and before midnight (New York City time) on a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Cayman Islands Counsel</w:t>
      </w:r>
      <w:r>
        <w:rPr>
          <w:rFonts w:ascii="Times New Roman;Times;Serif" w:hAnsi="Times New Roman;Times;Serif"/>
          <w:b w:val="false"/>
          <w:i w:val="false"/>
          <w:caps w:val="false"/>
          <w:smallCaps w:val="false"/>
          <w:sz w:val="20"/>
        </w:rPr>
        <w:t>” means Walkers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PRC Counsel</w:t>
      </w:r>
      <w:r>
        <w:rPr>
          <w:rFonts w:ascii="Times New Roman;Times;Serif" w:hAnsi="Times New Roman;Times;Serif"/>
          <w:b w:val="false"/>
          <w:i w:val="false"/>
          <w:caps w:val="false"/>
          <w:smallCaps w:val="false"/>
          <w:sz w:val="20"/>
        </w:rPr>
        <w:t>” means Global Law Office, located at 15th/16th Floor, Tower 1, China Central Place, 81 Jianguo Road, Chaoyang District, Beijing, PRC 100025.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means Loeb &amp; Loeb LLP, located at 345 Park Avenue, New York, NY 10154.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August 15, 2024 (as so amended and as further amended and supplemented from time to time) among the Company, the Depositary and the owners and holders of ADSs from time to time, as such agreement may be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Corporation, as depositary under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shall have the meaning ascribed to such term in Section 2.2(a)(iii).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xml:space="preserve">” means the issuance of (a) ADSs, Ordinary Shares, restricted share units or options to employees, officers, or directors of the Company pursuant to any share or option plan duly adopted for such purpose, which issuance was approved by a majority of the non-employee members of the Board of Directors or a majority of the members of a committee of non-employee directors established for such purpose for services rendered to the Company, (b) ADSs or Ordinary Shares upon the exercise or exchange of or conversion of any Securities issued hereunder, and/or securities exercisable or exchangeable for or convertible into ADSs or Ordinary Shares issued and outstanding on the date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securities have not been amended since the date of this Agreement to increase the number of such securities or to decrease the exercise price, exchange price or conversion price of such securities or to extend the term of such securities (other than in connection with ordinary share splits or combinations), and (c) securities issued pursuant to acquisitions or strategic transactions approved by a majority of the disinterested directors of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securities are issued as “restricted securities” (as defined in Rule 144) and carry no registration rights that require or permit the filing of any registration statement in connection therewith during the prohibition period in Section 4.10(a) herein, and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means, collectively, the lock-up agreements, dated as of the date hereof, executed by each of the directors and officers of the Company in favor of the Company and the Placement Agent, in the form of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Class A ordinary shares of the Company, $0.0001 par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or ADSs, including, without limitation, any debt, preferred share, right, option, warrant or other instrument that is at any time convertible into or exercisable or exchangeable for, or otherwise entitles the holder thereof to receive, Ordinary Shares or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 ADS Purchase Price” equals $3.00, subject to adjustment for reverse and forward share splits, share dividends, share combinations and other similar transactions of the ADSs and/or the Ordinary Shares, as applicable, that occur after the date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Univest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Commission and delivered by the Company to each Purchaser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with the Commission on Form F-3 (File No. 333-292185), as amended, which registers the sale of the ADSs to the Purchasers, including all information, documents and exhibits filed with or incorporated by reference into such registration statement, and includes any Rule 462(b)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ADSs and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means the Ordinary Shares represented by the ADSs issued or issuable to the Purchasers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 and/or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ADSs, each ADS representing thirty (30) Ordinary Shares,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any subsidiary of the Company as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ADSs and/or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the Lock-Up Agreements, and all exhibits and schedules thereto and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Agreement by the parties hereto, the Company agrees to sell, and the Purchasers, severally and not jointly, agree to purchase, the number of ADSs set forth under the heading “ADSs” on such Purchaser’s signature page hereto, at the Per ADS Purchase Price and in an aggregate amount equal to such Purchaser’s Subscription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provide the Placement Agent and/or the Purchaser with its wire instructions in writing at least one Business Day prior to the Closing Date. Prior to the Closing Date, the Purchaser shall deliver the Subscription Amount by wire transfer of immediately available funds in U.S. dollars to the bank account designated by the Placement Agent, in which case the Placement Agent shall disburse the funds received from the Purchasers to the Company and any other applicable payees in accordance with a duly executed flow of funds memorandum for the Closing. Unless otherwise directed by the Placement Agent, on the Closing Date, the Company shall issue and deposit the ADSs with the Depositary, and thereafter direct and procure the Depositary to deliver the number of ADSs fully paid for by the Purchaser to the account(s) at the Placement Agent identified by each Purchaser. Upon receipt of such ADSs, the Placement Agent shall promptly electronically deliver such ADSs to the applicable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if at any time on or after the time of execution of this Agreement by the Company and an applicable Purchaser through, and including the time immediately prior to,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any ADSs to be issued hereunder to such Purchaser at the Closing (collectively, the “</w:t>
      </w:r>
      <w:r>
        <w:rPr>
          <w:rFonts w:ascii="Times New Roman;Times;Serif" w:hAnsi="Times New Roman;Times;Serif"/>
          <w:b w:val="false"/>
          <w:i w:val="false"/>
          <w:caps w:val="false"/>
          <w:smallCaps w:val="false"/>
          <w:sz w:val="20"/>
          <w:u w:val="single"/>
        </w:rPr>
        <w:t>Pre-Settlement ADSs</w:t>
      </w:r>
      <w:r>
        <w:rPr>
          <w:rFonts w:ascii="Times New Roman;Times;Serif" w:hAnsi="Times New Roman;Times;Serif"/>
          <w:b w:val="false"/>
          <w:i w:val="false"/>
          <w:caps w:val="false"/>
          <w:smallCaps w:val="false"/>
          <w:sz w:val="20"/>
        </w:rPr>
        <w:t xml:space="preserve">”), such Person shall, automatically hereunder (without any additional required actions by such Purchaser or the Company), be deemed to be a Purchaser under this Agreement unconditionally bound to purchase, and the Company shall be deemed unconditionally bound to sell, such Pre-Settlement ADSs to such Person at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to deliver any Pre-Settlement ADS to such Purchaser prior to the Company’s receipt of the Subscription Amount for such Pre-Settlement ADSs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further, that the Company hereby acknowledges and agrees that the foregoing shall not constitute a representation or covenant by such Purchaser as to whether or not such Purchaser will elect to sell any Pre-Settlement ADSs during the Pre-Settlement Period. The decision to sell any ADS will be made in the sole discretion of such Purchaser from time to time, including during the Pre-Settlement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 on Company letterhead and executed by the Company’s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Depositary instructing the Depositary to deliver through the facilities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ADSs equal to the portion of such Purchaser’s Subscription Amount applicable to ADSs divided by the Per ADS Purchase Price, registered in the name of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Prospectus and Prospectus Supplement (which may be delivered in accordance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duly executed 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legal opinion of Company U.S. Counsel, in form reasonably acceptable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legal opinion of Company PRC Counsel, in form reasonably acceptable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legal opinion of Company Cayman Islands Counsel, in form reasonably acceptable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 Officer’s Certificate, in form and substance reasonably satisfactory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Chief Financial Officer’s Certificate, in form and substance reasonably satisfactory to the Placement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Secretary’s Certificate, in form and substance reasonably satisfactory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with respect to the Securities purchased by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ADSs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All of the direct and indirect subsidiaries of the Company are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The Company owns, directly or indirectly, all of the share capital or other equity interests of each Subsidiary, free and clear of any Liens, and all of the issued and outstanding share capital of each Subsidiary are validly issued and are fully paid, non-assessable and free of preemptive and similar rights to subscribe for or purchase securities. There are no outstanding options, warrants, scrips or rights to subscribe to, calls or commitments of any character whatsoever relating to, or securities, rights or obligations convertible into or exercisable or exchangeable for, or giving any Person any right to subscribe for or acquire, any capital shares or equity interests, as applicable, of any Subsidiary, or contracts, commitments, understandings or arrangements by which any Subsidiary is or may become bound to issue capital shares or equity interests, as applicable. If the Company has no subsidiaries, all other references to the Subsidiaries or any of them in the Transaction Documents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if applicable under the laws of the jurisdiction in which they are formed, in good standing (or the equivalent thereof)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memorandum of association, articles of association, certificate or articles of incorporation, bylaws or other organizational or charter documents. Each of the Company and the Subsidiaries is duly qualified to conduct business and is in good standing (or the equivalent thereof)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Except as set forth in the SEC Reports, the Registration Statement, the Prospectus and the Prospectus Supplement,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memorandum of association, articles of association,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the laws of the Cayman Islands, the People’s Republic of China and any foreign,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Except as set forth in the SEC Reports, the Registration Statement, the Prospectus and the Prospectus Supplement, neither the Company nor any Subsidiary is required to obtain any consent, waiver, authorization or order of, give any notice to, or make any filing or registration with, any court or other federal, state (including state blue sky laws),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any required notice and/or application(s) to and approvals by each applicable Trading Market for the issuance and sale of the Securities and the listing of the ADSs for trading thereon in the time and manner required thereby, (iv) such filings as are required under U.S. state securities laws, and (v) such filings as may be required under the applicable rules of the Financial Industry Regulatory Authority, Inc.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Shares and the ADSs are duly authorized and, when issued and paid for in accordance with the applicable Transaction Documents, will be duly and validly issued, fully paid and non-assessable, free and clear of all Liens imposed by the Company. The Company has reserved from its duly authorized share capital the maximum number of Ordinary Shares issuable pursuant to this Agreement. The Securities are not and will not be subject to the preemptive rights of any holders of any security of the Company or similar contractual rights granted by the Company, except as have been waived. The Company has prepared and filed the Registration Statement in conformity with the requirements of the Securities Act, which became effective on June 29, 2026, including the Prospectus, and such amendments and supplements thereto as may have been required to the date of this Agreement. The Company and the Depositary have prepared and filed with the Commission a registration statement relating to ADSs on Form F-6 (File No. 333-280774) for registration under the Securities Act (the “</w:t>
      </w:r>
      <w:r>
        <w:rPr>
          <w:rFonts w:ascii="Times New Roman;Times;Serif" w:hAnsi="Times New Roman;Times;Serif"/>
          <w:b w:val="false"/>
          <w:i w:val="false"/>
          <w:caps w:val="false"/>
          <w:smallCaps w:val="false"/>
          <w:sz w:val="20"/>
          <w:u w:val="single"/>
        </w:rPr>
        <w:t>ADS Registration Statement</w:t>
      </w:r>
      <w:r>
        <w:rPr>
          <w:rFonts w:ascii="Times New Roman;Times;Serif" w:hAnsi="Times New Roman;Times;Serif"/>
          <w:b w:val="false"/>
          <w:i w:val="false"/>
          <w:caps w:val="false"/>
          <w:smallCaps w:val="false"/>
          <w:sz w:val="20"/>
        </w:rPr>
        <w:t>”). The Registration Statement and ADS Registration Statement are effective under the Securities Act and no stop order preventing or suspending the effectiveness of the Registration Statement or suspending or preventing the use of the Prospectus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ADS Registration Statement and any amendments thereto became effective as determined under the Securities Act,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Prospectus Supplement and any amendments or supplements thereto, at the time the Prospectus or the Prospectus Supplement, as applicable,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F-3. The Company is eligible to use Form F-3 under the Securities Act and it meets the transaction requirements as set forth in General Instruction I.B.5 of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Prospectus and the Prospectus Supplement shall be deemed to refer to and include the documents incorporated by reference therein as of the date of filing thereof; and any reference herein to any “amendment” or “supplement” with respect to any of the Prospectus and the Prospectus Supplement shall be deemed to refer to and include (i) the filing of any document with the Commission incorporated or deemed to be incorporated therein by reference after the date of filing of such Prospectus or Prospectus Supplement and (ii) any such document so filed. All references in this Agreement to the Registration Statement, the Prospectus, the Prospectus Supplement, or any amendments or supplements to any of the foregoing, shall be deemed to include any copy thereof filed with the Commission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which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shall also include the number of ADSs or Ordinary Shares owned beneficially, and of record, by Affiliates of the Company as of the date hereof. The Company has not issued any share capital since its most recently filed public report filed under the Exchange Act, other than pursuant to the exercise of employee share options under the Company’s share option plans, the issuance of Ordinary Shares to employees pursuant to the Company’s employee share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ADSs, Ordinary Shares, or the capital stock of any Subsidiary, or contracts, commitments, understandings or arrangements by which the Company or any Subsidiary is or may become bound to issue additional ADSs, Ordinary Shares or Ordinary Share Equivalents or share capital of any Subsidiary. The issuance and sale of the Securities will not obligate the Company or any Subsidiary to issue ADSs, Ordinary Shares or other securities to any Person (other than the Purchasers) and will not result in a right of any holder of Company securities to adjust the exercise, conversion, exchange or reset price under any of such securities.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(other than in connection with a stock split, recapitalization, or similar transaction).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share capital of the Company is duly authorized, validly issued, fully paid and non-assessable, have been issued in compliance with all applicable foreign, federal and state securities laws where applicable, and none of such outstanding shares was issued in violation of any preemptive rights or similar rights to subscribe for or purchase securities. As of the Closing, no further approval or authorization of any shareholder or the Board of Directors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1 year preceding the date hereof (or such shorter period as the Company was required by law or regulation to file such materials)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on Schedule 3.1(i), (i) there has been no event, occurrence or development that has had or that would reasonably be expected to result in a Material Adverse Effect, (ii) neither the Company nor any Subsidiary has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neither the Company nor any Subsidiary has issued any equity securities to any officer, director or Affiliate, except pursuant to existing Company share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on Schedule 3.1(j), there is no action, suit, inquiry, notice of violation, proceeding or investigation pending or, to the knowledge of the Company or any Subsidiary,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would, if there were an unfavorable decision, have or reasonably be expected to result in a Material Adverse Effect. Except as set forth in the SEC Reports, neither the Company nor any Subsidiary, nor any director or officer thereof, is or has been the subject of any Action involving a claim of violation of or liability under the laws of the Cayman Islands, the People’s Republic of China, U.S. federal or state securities laws or a claim of breach of fiduciary duty which would, if there were an unfavorable decision, have or reasonably be expected to result in a Material Adverse Effect. There has not been, and to the knowledge of the Company, there is not pending or contemplated, any investigation by the Commission or the Cayman Islands or People’s Republic of China equivalent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(including the laws of the Cayman Islands and the People’s Republic of China)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Except as set forth in the SEC Reports,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(including the laws of the Cayman Islands and the People’s Republic of China),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would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None of the Intellectual Property Rights used by the Company or any of its Subsidiaries in their respective businesses has been obtained or is being used by the Company or such Subsidiary in violation of any contractual obligation binding on the Company or any of its Subsidiaries in violation of the rights of any person. The Company and its Subsidiaries have taken reasonable steps in accordance with normal industry practice to protect and maintain the Intellectual Property Rights, including the execution of appropriate nondisclosure and invention assignment agreements, except as would not, individually or in the aggregate, reasonably be expected to have a Material Adverse Effect. The consummation of the transactions contemplated by this Agreement will not result in the loss or impairment of, or payment of, and additional amounts with respect to, nor require the consent of, any other person regarding the Company’s or any of its Subsidiaries’ right to own or use any of the Intellectual Property Rights as owned or used in the conduct of such party’s business as currently conducted, except as would not, individually or in the aggregate, reasonably be expected to have a Material Adverse Effect. To the knowledge of the Company and its Subsidiaries, no employee of any of the Company or its Subsidiaries is the subject of any pending claim or proceeding involving a violation of any term of any employment contract, invention disclosure agreement, patent disclosure agreement, noncompetition agreement, non-solicitation agreement, nondisclosure agreement or restrictive covenant to or with a former employer, where the basis of such violation relates to such employee’s employment with the Company or its Subsidiaries or actions undertaken by the employee while employed with the Company or its Subsidiaries.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3.1(q),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or a Subsidiary and (iii) other employee benefits, including share option agreements under any share option plan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Except as set forth in the SEC Reports,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20-F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Form 20-F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and the Prospectus Supplement, and except for compensation to be paid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(for the avoidance of doubt, the foregoing shall not include any fees and/or commissions owed by the Company to the Depositary). Other than for Persons engaged by any Purchaser,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ADSs are registered pursuant to Section 12(b) or 12(g) of the Exchange Act, and the Company has taken no action designed to, or which to its knowledge is likely to have the effect of, terminating the registration of the ADSs under the Exchange Act nor has the Company received any notification that the Commission is contemplating terminating such registration. Except as disclosed in the SEC Reports, including the Company’s receipt of a minimum bid price deficiency notification dated January 26, 2026 and Nasdaq’s subsequent confirmation that the Company regained compliance with Nasdaq Listing Rule 5450(a)(1), the Company has not received any notice from the Nasdaq Global Market indicating that the Company is not currently in compliance with its listing or maintenance requirements. The Company is, and has no reason to believe that it will not in the foreseeable future continue to be, in compliance with all such listing and maintenance requirements. The ADSs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memorandum of association, articles of association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and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Times;Serif" w:hAnsi="Times New Roman;Times;Serif"/>
          <w:b w:val="false"/>
          <w:i w:val="false"/>
          <w:caps w:val="false"/>
          <w:smallCaps w:val="false"/>
          <w:sz w:val="20"/>
          <w:u w:val="single"/>
        </w:rPr>
        <w:t>Schedule 3.1(z)</w:t>
      </w:r>
      <w:r>
        <w:rPr>
          <w:rFonts w:ascii="Times New Roman;Times;Serif" w:hAnsi="Times New Roman;Times;Serif"/>
          <w:b w:val="false"/>
          <w:i w:val="false"/>
          <w:caps w:val="false"/>
          <w:smallCaps w:val="false"/>
          <w:sz w:val="20"/>
        </w:rPr>
        <w:t>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by the Company in excess of $50,000 (other than trade accounts payable incurred in the ordinary course of business), (y) 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Tax Compliance</w:t>
      </w:r>
      <w:r>
        <w:rPr>
          <w:rFonts w:ascii="Times New Roman;Times;Serif" w:hAnsi="Times New Roman;Times;Serif"/>
          <w:b w:val="false"/>
          <w:i w:val="false"/>
          <w:caps w:val="false"/>
          <w:smallCaps w:val="false"/>
          <w:sz w:val="20"/>
        </w:rPr>
        <w:t xml:space="preserve">. Except for matters that would not, individually or in the aggregate, have or reasonably be expected to result in a Material Adverse Effect, the Company and its Subsidiaries each (i) has made or filed, or secured all extensions for the filing of, all United States federal, state and local income and all foreign (including Cayman Islands and the People’s Republic of China) income and franchise tax returns, reports and declarations required by any jurisdiction to which it is subject, (ii) has paid all taxes and other governmental assessments and charges, fines or penalties that are material in amount, shown or determined to be due on such returns, reports and declarations, other than those listed on </w:t>
      </w:r>
      <w:r>
        <w:rPr>
          <w:rFonts w:ascii="Times New Roman;Times;Serif" w:hAnsi="Times New Roman;Times;Serif"/>
          <w:b w:val="false"/>
          <w:i w:val="false"/>
          <w:caps w:val="false"/>
          <w:smallCaps w:val="false"/>
          <w:sz w:val="20"/>
          <w:u w:val="single"/>
        </w:rPr>
        <w:t>Schedule 3.1(aa)</w:t>
      </w:r>
      <w:r>
        <w:rPr>
          <w:rFonts w:ascii="Times New Roman;Times;Serif" w:hAnsi="Times New Roman;Times;Serif"/>
          <w:b w:val="false"/>
          <w:i w:val="false"/>
          <w:caps w:val="false"/>
          <w:smallCaps w:val="false"/>
          <w:sz w:val="20"/>
        </w:rPr>
        <w:t xml:space="preserve"> hereto which are being contested in good faith and for which adequate reserves have been provided and (iii) has set aside on its financial statements provision reasonably adequate for the payment of all material tax liability of which has not been finally determined and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or any foreign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firms are as set forth in the Prospectus. To the knowledge and belief of the Company, (i) each of such accounting firms is a registered public accounting firm as required by the Exchange Act and (ii) the current accounting firm shall express its opinion with respect to the financial statements to be included in the Company’s next Report on Form 20-F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and/or ADSs,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Ordinary Share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the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except as would not, individually or in the aggregate, have a Material Adverse Effect,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Anti-Money Laundering Law of the People’s Republic of China, as amended, the Anti-Money Laundering Regulations of the Cayman Islands,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Securities Act Compliance</w:t>
      </w:r>
      <w:r>
        <w:rPr>
          <w:rFonts w:ascii="Times New Roman;Times;Serif" w:hAnsi="Times New Roman;Times;Serif"/>
          <w:b w:val="false"/>
          <w:i w:val="false"/>
          <w:caps w:val="false"/>
          <w:smallCaps w:val="false"/>
          <w:sz w:val="20"/>
        </w:rPr>
        <w:t>. The Registration Statement complies, and the Prospectus and any further amendments or supplements to the Registration Statement or the Prospectus will comply, in all material respects, with the applicable provisions of the Securities Act. Each part of the Registration Statement, when such part became effective, did not contain an untrue statement of a material fact or omit to state a material fact required to be stated therein or necessary to make the statements therein not misleading. The Prospectus, as of its filing date, and any amendment thereof or supplement thereto, did not and will not contain an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There has been no storage, generation, transportation, handling, use, treatment, disposal, discharge, emission, contamination, release or other activity involving any kind of hazardous, toxic or other wastes, pollutants, contaminants, petroleum products or other hazardous or toxic substances, chemicals or materials (“</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that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except for violations and liabilities which, individually or in the aggregate, would not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have a Material Adverse Effect. There is no pending or, to the best of the Company’s knowledge, threatened administrative, regulatory or judicial action, claim or notice of noncompliance or violation, investigation or proceedings relating to any Environmental Law against the Company or any Subsidiary, except as would not, individually or in the aggregate, have a Material Adverse Effect. No property of the Company or any Subsidiary is subject to any Lien under any Environmental Law. Except as disclosed in the Prospectus, neither the Company nor any Subsidiary is subject to any order, decree, agreement or other individualized legal requirement related to any Environmental Law, that, in any case (individually or in the aggregate), would have a Material Adverse Effect. The Company and each Subsidiary has all permits, authorizations and approvals required under any applicable Environmental Laws and are each in compliance with their requirements, except as would not, individually or in the aggregate, have a Material Adverse Effect. The Company has no reason to believe that costs and liabilities associated with Environmental Laws would,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Promotional Stock Activities</w:t>
      </w:r>
      <w:r>
        <w:rPr>
          <w:rFonts w:ascii="Times New Roman;Times;Serif" w:hAnsi="Times New Roman;Times;Serif"/>
          <w:b w:val="false"/>
          <w:i w:val="false"/>
          <w:caps w:val="false"/>
          <w:smallCaps w:val="false"/>
          <w:sz w:val="20"/>
        </w:rPr>
        <w:t>. Neither the Company nor any Subsidiary of the Company and none of their respective officers, directors, managers, affiliates or agents have engaged in any stock promotional activity that could give rise to a complaint, inquiry, or trading suspension by the SEC alleging: (i) a violation of the anti-fraud provisions of the federal securities laws; (ii) violations of the anti-touting provisions; (iii) improper “gun-jumping”; or (iv) promotion without proper disclosure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(i) The Company and the Subsidiaries are in compliance in all material respects, and to the knowledge of the Company at all times during the last three (3) years were in compliance in all material respects, with all applicable data privacy and security laws and regulations, including the Personal Information Protection Law, the Data Security Law and the Cybersecurity Law of the People’s Republic of China and the measures promulgated thereunder governing cross-border transfers of data, and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(ss) Foreign Private Issuer</w:t>
      </w:r>
      <w:r>
        <w:rPr>
          <w:rFonts w:ascii="Times New Roman;Times;Serif" w:hAnsi="Times New Roman;Times;Serif"/>
          <w:b w:val="false"/>
          <w:i w:val="false"/>
          <w:caps w:val="false"/>
          <w:smallCaps w:val="false"/>
          <w:sz w:val="20"/>
        </w:rPr>
        <w:t>. The Company is a “foreign private issuer” as defined in Rule 405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(tt) Jurisdiction</w:t>
      </w:r>
      <w:r>
        <w:rPr>
          <w:rFonts w:ascii="Times New Roman;Times;Serif" w:hAnsi="Times New Roman;Times;Serif"/>
          <w:b w:val="false"/>
          <w:i w:val="false"/>
          <w:caps w:val="false"/>
          <w:smallCaps w:val="false"/>
          <w:sz w:val="20"/>
        </w:rPr>
        <w:t>. The Company has the power to submit, and has legally, validly, effectively and irrevocably submitted, to the jurisdiction of the Specified Courts (as defined in Section 5.9), and has the power to designate, appoint and empower, and has legally, validly and effectively designated, appointed and empowered, an agent for service of process in any suit or proceeding based on or arising under this Agreement in any Specified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 “accredited investor” as defined in Rule 501(a)(1), (a)(2), (a)(3), (a)(7), (a)(8), (a)(9), (a)(12), or (a)(13)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definitive pricing and other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Independent Advice</w:t>
      </w:r>
      <w:r>
        <w:rPr>
          <w:rFonts w:ascii="Times New Roman;Times;Serif" w:hAnsi="Times New Roman;Times;Serif"/>
          <w:b w:val="false"/>
          <w:i w:val="false"/>
          <w:caps w:val="false"/>
          <w:smallCaps w:val="false"/>
          <w:sz w:val="20"/>
        </w:rPr>
        <w:t>. Each Purchaser understands that nothing in this Agreement or any other materials presented by or on behalf of the Company to the Purchaser in connection with the purchase of the Securities constitutes legal, tax or investment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ADSs shall be issued free of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xml:space="preserve">. Until the earlier of (i) the time that no Purchaser owns Securities and (ii) the second anniversary of the Closing Date, the Company covenants to maintain the registration of the ADSs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the event that the Company consummates: (i) any transaction or series of related transactions as a result of which any Person (together with its Affiliates) acquires then outstanding securities of the Company representing more than fifty percent (50%) of the voting control of the Company; (ii) a merger or reorganization of the Company with one or more other entities in which the Company is not the surviving entity; or (iii) a sale of all or substantially all of the assets of the Company, where the consummation of such transaction results in the Company no longer being subject to the reporting requirements of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only in connection with subsections (i) and (iii) of this Section 4.2, that such limitation shall not apply on or after the date as of which the Purchasers may sell all of their Securities without restriction or limitation pursuant to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that the Company reasonably believes constitutes, material non-public information, unless prior thereto such Purchaser shall have entered into a written agreement with the Company regarding the confidentiality and use of such information including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Purchaser shall remain subject to applicable laws.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Report of Foreign Private Issuer on Form 6-K.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purposes as set forth in the Registration Statement and Prospectus Supplement and shall not use such proceeds: (a) for the satisfaction of any portion of the Company’s debt (other than payment of trade payables in the ordinary course of the Company’s business and prior practices), (b) for the redemption of any ADSs, Ordinary Shares or Ordinary Share Equivalents, (c) for the settlement of any outstanding litigation or (d) in violation of FCPA or OFAC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or any of them or their respective Affiliates, by any shareholder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The Company shall indemnify each Purchaser Party, to the fullest extent permitted by applicable law, from and against any and all losses, claims, damages, liabilities, costs (including, without limitation, reasonable attorneys’ fees) and expenses, as incurred, caused by or based upon any untrue or alleged untrue statement of a material fact contained in the Registration Statement or any amendment thereto, any free writing prospectus, the Prospectus or any amendment or supplement thereto, or caused by or based upon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Listing of ADSs</w:t>
      </w:r>
      <w:r>
        <w:rPr>
          <w:rFonts w:ascii="Times New Roman;Times;Serif" w:hAnsi="Times New Roman;Times;Serif"/>
          <w:b w:val="false"/>
          <w:i w:val="false"/>
          <w:caps w:val="false"/>
          <w:smallCaps w:val="false"/>
          <w:sz w:val="20"/>
        </w:rPr>
        <w:t>. The Company hereby agrees to use commercially reasonable efforts to maintain the listing or quotation of the ADSs on a Trading Market. Nothing in this Section 4.9 shall prevent the Company from transferring the listing of the ADSs from one Trading Market to another Trading Market, including from the Nasdaq Global Market to the Nasdaq Capital Market. The Company further agrees, if the Company applies to have the ADSs traded on any other Trading Market, it will then include in such application all of the ADSs, and will take such other action as is necessary to cause all of the ADSs to be listed or quoted on such other Trading Market as promptly as possible. The Company will then take all action reasonably necessary to continue the listing and trading of its ADSs on a Trading Market and will comply in all material respects with the Company’s reporting, filing and other obligations under the bylaws or rules of the Trading Market. The Company agrees to use commercially reasonable efforts to maintain the eligibility of the ADSs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Subsequent Equity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30 days after the Closing Date, neither the Company nor any Subsidiary shall (i) issue, enter into any agreement to issue or announce the issuance or proposed issuance of any ADSs, Ordinary Shares or Ordinary Share Equivalents or (ii) file or cause to be filed any registration statement or amendment or supplement thereto, other than (w) the Prospectus Supplement, (x) a registration statement on Form S-8 in connection with any employee benefit plan, (y) a registration statement on Form F-6, or any amendment thereto, relating to the ADSs, and (z) any amendment or supplement to the Registration Statement, and any report filed under the Exchange Act that is incorporated by reference therein, in each case that the Company is required to file under the Securities Act, the Exchange Act or the rules and regulations of the Commission. Any Purchaser shall be entitled to obtain injunctive relief against the Company to preclude any such issuance, which remedy shall be in addition to any right to collect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30 days following the Closing Date, the Company shall be prohibited from effecting or entering into an agreement to effect any issuance by the Company or any of its Subsidiaries of ADSs, Ordinary Shares or Ordinary Share Equivalents (or a combination of units thereof) involving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ADSs or Ordinary Shares either (A) at a conversion price, exercise price or exchange rate or other price that is based upon and/or varies with the trading prices of or quotations for the ADSs and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ADSs or Ordinary Shares or (ii) enters into, or effects a transaction under, any agreement, including, but not limited to, an equity line of credit but excluding an “at-the-market” offering”, whereby the Company may issue securities at a future determined price, regardless of whether shares pursuant to such agreement have actually been issued and regardless of whether such agreement is subsequently cancelled. Any Purchaser shall be entitled to obtain injunctive relief against the Company to preclude any such issuance, which remedy shall be in addition to any right to collect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4.10 shall not apply in respect of an Exempt Issuance, except that no Variable Rate Transaction shall be an Exempt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 and in the case of a Purchaser that has implemented internal information barriers pursuant to an information controls policy to ‘wall off’ certain trading personnel, this Section 4.12 shall apply only with respect to activities of such walled-off trading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Reservations of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ADSs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without the prior written consent of the Placement Agent, except to extend the term of the lock-up period, and shall enforce the provisions of each Lock-Up Agreement in accordance with its terms. If any party to a Lock-Up Agreement breaches any provision of a Lock-Up Agreement, the Company shall promptly use its commercially reasonable efforts to seek specific performance of the terms of such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5th Trading Day following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Depositary fees (including, without limitation, any fees required for same-day processing of any instruction letter delivered by the Company to issue ADSs), stamp taxes and other taxes and duties levied in connection with the delivery of any ADSs to the Purchasers and shall reimburse the Purchasers for any fees charged to Purchasers by the Depositary in connection with the issuance or holding or sale of the ADSs and/or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Purchasers which purchased at least 50.1% in interest of the sum of the ADSs based on the initial Subscription Amounts hereunder (or, prior to the Closing the Company and each Purchaser), or, in the case of a waiver, by the party against whom enforcement of any such waived provision is sought;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transferee agrees in writing to be bound, with respect to the transferred Securities, by the provisions of the Transaction Documents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a third party beneficiary of the representations and warranties of the Company in this Agreement and of the representations and warranties of the Purchasers in this Agreement, and of no other provision hereof. For the avoidance of doubt, the Placement Agent is not a beneficiary of Section 4.8, and the rights and obligations of the Company and the Placement Agent as between themselves are governed exclusively by the Placement Agency Agreement. This Agreement is intended for the benefit of the parties hereto and their respective successors and permitted assigns and is not for the benefit of, nor may any provision hereof be enforced by, any other Person, except as otherwise set forth in this Section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 Agent for Process</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U.S. federal and New York state courts sitting in the Borough of Manhattan, City of New York (collectively, the “</w:t>
      </w:r>
      <w:r>
        <w:rPr>
          <w:rFonts w:ascii="Times New Roman;Times;Serif" w:hAnsi="Times New Roman;Times;Serif"/>
          <w:b w:val="false"/>
          <w:i w:val="false"/>
          <w:caps w:val="false"/>
          <w:smallCaps w:val="false"/>
          <w:sz w:val="20"/>
          <w:u w:val="single"/>
        </w:rPr>
        <w:t>Specified Courts</w:t>
      </w:r>
      <w:r>
        <w:rPr>
          <w:rFonts w:ascii="Times New Roman;Times;Serif" w:hAnsi="Times New Roman;Times;Serif"/>
          <w:b w:val="false"/>
          <w:i w:val="false"/>
          <w:caps w:val="false"/>
          <w:smallCaps w:val="false"/>
          <w:sz w:val="20"/>
        </w:rPr>
        <w:t>”). Each party hereby irrevocably submits to the exclusive jurisdiction of the Specified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 In addition to and without limiting the foregoing, the Company has appointed Cogency Global Inc. as its authorized agent (the “</w:t>
      </w:r>
      <w:r>
        <w:rPr>
          <w:rFonts w:ascii="Times New Roman;Times;Serif" w:hAnsi="Times New Roman;Times;Serif"/>
          <w:b w:val="false"/>
          <w:i w:val="false"/>
          <w:caps w:val="false"/>
          <w:smallCaps w:val="false"/>
          <w:sz w:val="20"/>
          <w:u w:val="single"/>
        </w:rPr>
        <w:t>Authorized Agent</w:t>
      </w:r>
      <w:r>
        <w:rPr>
          <w:rFonts w:ascii="Times New Roman;Times;Serif" w:hAnsi="Times New Roman;Times;Serif"/>
          <w:b w:val="false"/>
          <w:i w:val="false"/>
          <w:caps w:val="false"/>
          <w:smallCaps w:val="false"/>
          <w:sz w:val="20"/>
        </w:rPr>
        <w:t>”) upon whom process may be served in any suit, action or proceeding arising out of or based upon the Transaction Documents or the transactions contemplated herein which may be instituted in any Specified Court by any Purchaser, and expressly accept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The Company hereby authorizes and directs the Authorized Agent to accept such service. Service of process upon the Authorized Agent shall be deemed, in every respect, effective service of process upon the Company. If the Authorized Agent shall cease to act as agent for service of process, the Company shall appoint, without unreasonable delay, another such agent in the United States, and notify you of such appointment. This paragraph shall survive any termination of this Agreement, in whole or in part.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by other electronic signing created on an electronic platform (such as DocuSign), or by digital signing (such as Adobe Sign), such signature shall create a valid and binding obligation of the party executing (or on whose behalf such signature is executed) with the same force and effect as if such “.pdf” or other electronic or digital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the legal counsel of the Placement Agent.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Ordinary Shares and ADSs in any Transaction Document shall be subject to adjustment for reverse and forward share splits, share dividends, share combinations and other similar transactions of the ADSs or Ordinary Shares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stated, all dollar amounts and references to “$” in this Agreement refer to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7328" w:type="dxa"/>
        <w:jc w:val="left"/>
        <w:tblInd w:w="0" w:type="dxa"/>
        <w:tblLayout w:type="fixed"/>
        <w:tblCellMar>
          <w:top w:w="0" w:type="dxa"/>
          <w:left w:w="0" w:type="dxa"/>
          <w:bottom w:w="0" w:type="dxa"/>
          <w:right w:w="0" w:type="dxa"/>
        </w:tblCellMar>
      </w:tblPr>
      <w:tblGrid>
        <w:gridCol w:w="741"/>
        <w:gridCol w:w="2833"/>
        <w:gridCol w:w="60"/>
        <w:gridCol w:w="3210"/>
        <w:gridCol w:w="484"/>
      </w:tblGrid>
      <w:tr>
        <w:trPr/>
        <w:tc>
          <w:tcPr>
            <w:tcW w:w="35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YXT.COM GROUP HOLDING LIMITED</w:t>
            </w:r>
          </w:p>
        </w:tc>
        <w:tc>
          <w:tcPr>
            <w:tcW w:w="60"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Huqiu District, Suzhou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Jiangsu, 215011, People’s Republic of China</w:t>
            </w:r>
          </w:p>
        </w:tc>
      </w:tr>
      <w:tr>
        <w:trPr/>
        <w:tc>
          <w:tcPr>
            <w:tcW w:w="3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r>
        <w:trPr/>
        <w:tc>
          <w:tcPr>
            <w:tcW w:w="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33"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Xiaoyan Lu</w:t>
            </w:r>
          </w:p>
        </w:tc>
        <w:tc>
          <w:tcPr>
            <w:tcW w:w="60"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Xiaoyan Lu</w:t>
            </w:r>
          </w:p>
        </w:tc>
        <w:tc>
          <w:tcPr>
            <w:tcW w:w="60"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484"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 and Chief Executive Officer</w:t>
            </w:r>
          </w:p>
        </w:tc>
        <w:tc>
          <w:tcPr>
            <w:tcW w:w="60"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250" w:type="dxa"/>
        <w:jc w:val="left"/>
        <w:tblInd w:w="0" w:type="dxa"/>
        <w:tblLayout w:type="fixed"/>
        <w:tblCellMar>
          <w:top w:w="0" w:type="dxa"/>
          <w:left w:w="0" w:type="dxa"/>
          <w:bottom w:w="0" w:type="dxa"/>
          <w:right w:w="0" w:type="dxa"/>
        </w:tblCellMar>
      </w:tblPr>
      <w:tblGrid>
        <w:gridCol w:w="4115"/>
        <w:gridCol w:w="60"/>
        <w:gridCol w:w="75"/>
      </w:tblGrid>
      <w:tr>
        <w:trPr/>
        <w:tc>
          <w:tcPr>
            <w:tcW w:w="41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to (which shall not constitute notice)</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2206-19 Jardine House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Connaught Place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 SAR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852-3923-1111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Henry Yin, Esq.</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henry.yin@loeb.com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407-4000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Hermione Krumm, Esq.</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hkrumm@loeb.com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COMPANY SIGNATURE PAGE TO YXT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YXT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910"/>
        <w:gridCol w:w="4160"/>
        <w:gridCol w:w="75"/>
      </w:tblGrid>
      <w:tr>
        <w:trPr/>
        <w:tc>
          <w:tcPr>
            <w:tcW w:w="1910" w:type="dxa"/>
            <w:tcBorders/>
            <w:vAlign w:val="center"/>
          </w:tcPr>
          <w:p>
            <w:pPr>
              <w:pStyle w:val="TableContents"/>
              <w:bidi w:val="0"/>
              <w:spacing w:before="0" w:after="283"/>
              <w:jc w:val="both"/>
              <w:rPr/>
            </w:pPr>
            <w:r>
              <w:rPr/>
              <w:t>Name of Purchaser:</w:t>
            </w:r>
          </w:p>
        </w:tc>
        <w:tc>
          <w:tcPr>
            <w:tcW w:w="4160" w:type="dxa"/>
            <w:tcBorders>
              <w:bottom w:val="single" w:sz="8" w:space="0" w:color="000000"/>
            </w:tcBorders>
            <w:tcMar>
              <w:bottom w:w="28" w:type="dxa"/>
            </w:tcMar>
            <w:vAlign w:val="center"/>
          </w:tcPr>
          <w:p>
            <w:pPr>
              <w:pStyle w:val="TableContents"/>
              <w:bidi w:val="0"/>
              <w:spacing w:before="0" w:after="283"/>
              <w:jc w:val="both"/>
              <w:rPr/>
            </w:pPr>
            <w:r>
              <w:rPr/>
              <w:t>Sabby Volatility Warrant Master Fund, Ltd.</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4610"/>
        <w:gridCol w:w="2045"/>
        <w:gridCol w:w="75"/>
      </w:tblGrid>
      <w:tr>
        <w:trPr/>
        <w:tc>
          <w:tcPr>
            <w:tcW w:w="4610" w:type="dxa"/>
            <w:tcBorders/>
            <w:vAlign w:val="center"/>
          </w:tcPr>
          <w:p>
            <w:pPr>
              <w:pStyle w:val="TableContents"/>
              <w:bidi w:val="0"/>
              <w:spacing w:before="0" w:after="283"/>
              <w:jc w:val="both"/>
              <w:rPr/>
            </w:pPr>
            <w:r>
              <w:rPr>
                <w:i/>
              </w:rPr>
              <w:t>Signature of Authorized Signatory of Purchaser</w:t>
            </w:r>
            <w:r>
              <w:rPr/>
              <w:t>:</w:t>
            </w:r>
          </w:p>
        </w:tc>
        <w:tc>
          <w:tcPr>
            <w:tcW w:w="2045" w:type="dxa"/>
            <w:tcBorders>
              <w:bottom w:val="single" w:sz="8" w:space="0" w:color="000000"/>
            </w:tcBorders>
            <w:tcMar>
              <w:bottom w:w="28" w:type="dxa"/>
            </w:tcMar>
            <w:vAlign w:val="center"/>
          </w:tcPr>
          <w:p>
            <w:pPr>
              <w:pStyle w:val="TableContents"/>
              <w:bidi w:val="0"/>
              <w:spacing w:before="0" w:after="283"/>
              <w:jc w:val="both"/>
              <w:rPr/>
            </w:pPr>
            <w:r>
              <w:rPr/>
              <w:t>/s/ Robert Grundstein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3020"/>
        <w:gridCol w:w="2285"/>
        <w:gridCol w:w="75"/>
      </w:tblGrid>
      <w:tr>
        <w:trPr/>
        <w:tc>
          <w:tcPr>
            <w:tcW w:w="3020" w:type="dxa"/>
            <w:tcBorders/>
            <w:vAlign w:val="center"/>
          </w:tcPr>
          <w:p>
            <w:pPr>
              <w:pStyle w:val="TableContents"/>
              <w:bidi w:val="0"/>
              <w:spacing w:before="0" w:after="283"/>
              <w:jc w:val="both"/>
              <w:rPr/>
            </w:pPr>
            <w:r>
              <w:rPr/>
              <w:t>Name of Authorized Signatory:</w:t>
            </w:r>
          </w:p>
        </w:tc>
        <w:tc>
          <w:tcPr>
            <w:tcW w:w="2285" w:type="dxa"/>
            <w:tcBorders>
              <w:bottom w:val="single" w:sz="8" w:space="0" w:color="000000"/>
            </w:tcBorders>
            <w:tcMar>
              <w:bottom w:w="28" w:type="dxa"/>
            </w:tcMar>
            <w:vAlign w:val="center"/>
          </w:tcPr>
          <w:p>
            <w:pPr>
              <w:pStyle w:val="TableContents"/>
              <w:bidi w:val="0"/>
              <w:spacing w:before="0" w:after="283"/>
              <w:jc w:val="both"/>
              <w:rPr/>
            </w:pPr>
            <w:r>
              <w:rPr/>
              <w:t>Robert Grundstein</w:t>
            </w:r>
          </w:p>
        </w:tc>
        <w:tc>
          <w:tcPr>
            <w:tcW w:w="75" w:type="dxa"/>
            <w:tcBorders/>
            <w:vAlign w:val="center"/>
          </w:tcPr>
          <w:p>
            <w:pPr>
              <w:pStyle w:val="TableContents"/>
              <w:bidi w:val="0"/>
              <w:spacing w:before="0" w:after="283"/>
              <w:jc w:val="both"/>
              <w:rPr/>
            </w:pPr>
            <w:r>
              <w:rPr/>
              <w:t> </w:t>
            </w:r>
          </w:p>
        </w:tc>
      </w:tr>
      <w:tr>
        <w:trPr/>
        <w:tc>
          <w:tcPr>
            <w:tcW w:w="3020" w:type="dxa"/>
            <w:tcBorders/>
            <w:vAlign w:val="center"/>
          </w:tcPr>
          <w:p>
            <w:pPr>
              <w:pStyle w:val="TableContents"/>
              <w:bidi w:val="0"/>
              <w:spacing w:before="0" w:after="283"/>
              <w:jc w:val="both"/>
              <w:rPr/>
            </w:pPr>
            <w:r>
              <w:rPr/>
              <w:t> </w:t>
            </w:r>
          </w:p>
        </w:tc>
        <w:tc>
          <w:tcPr>
            <w:tcW w:w="22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020" w:type="dxa"/>
            <w:tcBorders/>
            <w:vAlign w:val="center"/>
          </w:tcPr>
          <w:p>
            <w:pPr>
              <w:pStyle w:val="TableContents"/>
              <w:bidi w:val="0"/>
              <w:spacing w:before="0" w:after="283"/>
              <w:jc w:val="both"/>
              <w:rPr/>
            </w:pPr>
            <w:r>
              <w:rPr/>
              <w:t>Title of Authorized Signatory:</w:t>
            </w:r>
          </w:p>
        </w:tc>
        <w:tc>
          <w:tcPr>
            <w:tcW w:w="2285" w:type="dxa"/>
            <w:tcBorders>
              <w:bottom w:val="single" w:sz="8" w:space="0" w:color="000000"/>
            </w:tcBorders>
            <w:tcMar>
              <w:bottom w:w="28" w:type="dxa"/>
            </w:tcMar>
            <w:vAlign w:val="center"/>
          </w:tcPr>
          <w:p>
            <w:pPr>
              <w:pStyle w:val="TableContents"/>
              <w:bidi w:val="0"/>
              <w:spacing w:before="0" w:after="283"/>
              <w:jc w:val="both"/>
              <w:rPr/>
            </w:pPr>
            <w:r>
              <w:rPr/>
              <w:t>Chief Operating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3845"/>
        <w:gridCol w:w="3530"/>
        <w:gridCol w:w="75"/>
      </w:tblGrid>
      <w:tr>
        <w:trPr/>
        <w:tc>
          <w:tcPr>
            <w:tcW w:w="3845" w:type="dxa"/>
            <w:tcBorders/>
            <w:vAlign w:val="center"/>
          </w:tcPr>
          <w:p>
            <w:pPr>
              <w:pStyle w:val="TableContents"/>
              <w:bidi w:val="0"/>
              <w:spacing w:before="0" w:after="283"/>
              <w:jc w:val="both"/>
              <w:rPr/>
            </w:pPr>
            <w:r>
              <w:rPr/>
              <w:t>Email Address of Authorized Signatory:</w:t>
            </w:r>
          </w:p>
        </w:tc>
        <w:tc>
          <w:tcPr>
            <w:tcW w:w="3530" w:type="dxa"/>
            <w:tcBorders>
              <w:bottom w:val="single" w:sz="8" w:space="0" w:color="000000"/>
            </w:tcBorders>
            <w:tcMar>
              <w:bottom w:w="28" w:type="dxa"/>
            </w:tcMar>
            <w:vAlign w:val="center"/>
          </w:tcPr>
          <w:p>
            <w:pPr>
              <w:pStyle w:val="TableContents"/>
              <w:bidi w:val="0"/>
              <w:spacing w:before="0" w:after="283"/>
              <w:jc w:val="both"/>
              <w:rPr/>
            </w:pPr>
            <w:r>
              <w:rPr/>
              <w:t>rgrundstein@sabbymanagement.com</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for Notice to Purchaser: c/o Sabby Management, LLC, 1011 Links Dr., Miami Beach 33109; </w:t>
      </w:r>
      <w:r>
        <w:rPr>
          <w:rFonts w:ascii="Times New Roman;Times;Serif" w:hAnsi="Times New Roman;Times;Serif"/>
          <w:b w:val="false"/>
          <w:i w:val="false"/>
          <w:caps w:val="false"/>
          <w:smallCaps w:val="false"/>
          <w:sz w:val="20"/>
          <w:u w:val="single"/>
        </w:rPr>
        <w:t>rgrundstein@sabbymanagement.com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hmintz@sabbymanagement.com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smintz@sabbymanagement.com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Client Settlement, Wedbush Securities, 225 S Lake Ave., Penthouse, Pasadena, CA 91101.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$1,500,000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500,000 @ 3.00</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340"/>
        <w:gridCol w:w="1175"/>
        <w:gridCol w:w="75"/>
      </w:tblGrid>
      <w:tr>
        <w:trPr/>
        <w:tc>
          <w:tcPr>
            <w:tcW w:w="1340" w:type="dxa"/>
            <w:tcBorders/>
            <w:vAlign w:val="center"/>
          </w:tcPr>
          <w:p>
            <w:pPr>
              <w:pStyle w:val="TableContents"/>
              <w:bidi w:val="0"/>
              <w:spacing w:before="0" w:after="283"/>
              <w:jc w:val="both"/>
              <w:rPr/>
            </w:pPr>
            <w:r>
              <w:rPr/>
              <w:t>EIN Number:</w:t>
            </w:r>
          </w:p>
        </w:tc>
        <w:tc>
          <w:tcPr>
            <w:tcW w:w="1175" w:type="dxa"/>
            <w:tcBorders>
              <w:bottom w:val="single" w:sz="8" w:space="0" w:color="000000"/>
            </w:tcBorders>
            <w:tcMar>
              <w:bottom w:w="28" w:type="dxa"/>
            </w:tcMar>
            <w:vAlign w:val="center"/>
          </w:tcPr>
          <w:p>
            <w:pPr>
              <w:pStyle w:val="TableContents"/>
              <w:bidi w:val="0"/>
              <w:spacing w:before="0" w:after="283"/>
              <w:jc w:val="both"/>
              <w:rPr/>
            </w:pPr>
            <w:r>
              <w:rPr/>
              <w:t>98-1017380</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both"/>
              <w:rPr/>
            </w:pPr>
            <w:r>
              <w:rPr/>
              <w:t>Re:</w:t>
            </w:r>
          </w:p>
        </w:tc>
        <w:tc>
          <w:tcPr>
            <w:tcW w:w="9857" w:type="dxa"/>
            <w:tcBorders/>
            <w:vAlign w:val="center"/>
          </w:tcPr>
          <w:p>
            <w:pPr>
              <w:pStyle w:val="TableContents"/>
              <w:bidi w:val="0"/>
              <w:spacing w:before="0" w:after="283"/>
              <w:jc w:val="both"/>
              <w:rPr/>
            </w:pPr>
            <w:r>
              <w:rPr/>
              <w:t>Securities Purchase Agreement, dated as of August 14, 2026 (the “</w:t>
            </w:r>
            <w:r>
              <w:rPr>
                <w:u w:val="single"/>
              </w:rPr>
              <w:t>Agreement</w:t>
            </w:r>
            <w:r>
              <w:rPr/>
              <w:t>”), between YXT.COM GROUP HOLDING LIMITED, a Cayman Islands exempted company (the “</w:t>
            </w:r>
            <w:r>
              <w:rPr>
                <w:u w:val="single"/>
              </w:rPr>
              <w:t>Company</w:t>
            </w:r>
            <w:r>
              <w:rPr/>
              <w:t>”) and the purchasers signatory thereto (each a “</w:t>
            </w:r>
            <w:r>
              <w:rPr>
                <w:u w:val="single"/>
              </w:rPr>
              <w:t>Purchaser</w:t>
            </w:r>
            <w:r>
              <w:rPr/>
              <w:t>”, and collectively, the “</w:t>
            </w:r>
            <w:r>
              <w:rPr>
                <w:u w:val="single"/>
              </w:rPr>
              <w:t>Purchasers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irrevocably agrees with the Company that, from the date hereof until fifteen (15) days following the closing of the offering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of securities by the Company as described in the Agreement (such period, the “</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for which Offering Univest Securities LLC (the “</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is acting as exclusive placement agent of the Company, the undersigned will not, without the prior written consent of the Placement Agent,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with respect to, any Ordinary Shares and/or ADSs of the Company or securities convertible, exchangeable or exercisable into or for Ordinary Shares and/or ADSs of the Company beneficially owned, held or hereafter acquired by the undersigned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set forth on the signature page hereto, or make any demand for or exercise any right or cause to be filed a registration, including any amendments thereto, with respect to the registration of any Ordinary Shares and/or ADSs or Ordinary Share Equivalents or publicly disclose the intention to do any of the foregoing. Beneficial ownership shall be calculated in accordance with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the Company receives a signed lock-up letter agreement (in the form of this letter agreement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transfer: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588"/>
        <w:gridCol w:w="9473"/>
      </w:tblGrid>
      <w:tr>
        <w:trPr/>
        <w:tc>
          <w:tcPr>
            <w:tcW w:w="14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i)</w:t>
            </w:r>
          </w:p>
        </w:tc>
        <w:tc>
          <w:tcPr>
            <w:tcW w:w="9473" w:type="dxa"/>
            <w:tcBorders/>
            <w:vAlign w:val="center"/>
          </w:tcPr>
          <w:p>
            <w:pPr>
              <w:pStyle w:val="TableContents"/>
              <w:bidi w:val="0"/>
              <w:spacing w:before="0" w:after="283"/>
              <w:jc w:val="both"/>
              <w:rPr/>
            </w:pPr>
            <w:r>
              <w:rPr/>
              <w:t xml:space="preserve">as a </w:t>
            </w:r>
            <w:r>
              <w:rPr>
                <w:i/>
              </w:rPr>
              <w:t xml:space="preserve">bona fide </w:t>
            </w:r>
            <w:r>
              <w:rPr/>
              <w:t>gift or gifts;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ii)</w:t>
            </w:r>
          </w:p>
        </w:tc>
        <w:tc>
          <w:tcPr>
            <w:tcW w:w="10004" w:type="dxa"/>
            <w:tcBorders/>
            <w:vAlign w:val="center"/>
          </w:tcPr>
          <w:p>
            <w:pPr>
              <w:pStyle w:val="TableContents"/>
              <w:bidi w:val="0"/>
              <w:spacing w:before="0" w:after="283"/>
              <w:jc w:val="both"/>
              <w:rPr/>
            </w:pPr>
            <w:r>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iii)</w:t>
            </w:r>
          </w:p>
        </w:tc>
        <w:tc>
          <w:tcPr>
            <w:tcW w:w="9929" w:type="dxa"/>
            <w:tcBorders/>
            <w:vAlign w:val="center"/>
          </w:tcPr>
          <w:p>
            <w:pPr>
              <w:pStyle w:val="TableContents"/>
              <w:bidi w:val="0"/>
              <w:spacing w:before="0" w:after="283"/>
              <w:jc w:val="both"/>
              <w:rPr/>
            </w:pPr>
            <w:r>
              <w:rPr/>
              <w:t>to any corporation, partnership, limited liability company, or other business entity all of the equity holders of which consist of the undersigned and/or the immediate family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iv)</w:t>
            </w:r>
          </w:p>
        </w:tc>
        <w:tc>
          <w:tcPr>
            <w:tcW w:w="9948" w:type="dxa"/>
            <w:tcBorders/>
            <w:vAlign w:val="center"/>
          </w:tcPr>
          <w:p>
            <w:pPr>
              <w:pStyle w:val="TableContents"/>
              <w:bidi w:val="0"/>
              <w:spacing w:before="0" w:after="283"/>
              <w:jc w:val="both"/>
              <w:rPr/>
            </w:pPr>
            <w:r>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59"/>
        <w:gridCol w:w="9783"/>
      </w:tblGrid>
      <w:tr>
        <w:trPr/>
        <w:tc>
          <w:tcPr>
            <w:tcW w:w="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v)</w:t>
            </w:r>
          </w:p>
        </w:tc>
        <w:tc>
          <w:tcPr>
            <w:tcW w:w="9783" w:type="dxa"/>
            <w:tcBorders/>
            <w:vAlign w:val="center"/>
          </w:tcPr>
          <w:p>
            <w:pPr>
              <w:pStyle w:val="TableContents"/>
              <w:bidi w:val="0"/>
              <w:spacing w:before="0" w:after="283"/>
              <w:jc w:val="both"/>
              <w:rPr/>
            </w:pPr>
            <w:r>
              <w:rPr/>
              <w:t>if the undersigned is a trust, to the beneficiary of such trust;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vi)</w:t>
            </w:r>
          </w:p>
        </w:tc>
        <w:tc>
          <w:tcPr>
            <w:tcW w:w="9922" w:type="dxa"/>
            <w:tcBorders/>
            <w:vAlign w:val="center"/>
          </w:tcPr>
          <w:p>
            <w:pPr>
              <w:pStyle w:val="TableContents"/>
              <w:bidi w:val="0"/>
              <w:spacing w:before="0" w:after="283"/>
              <w:jc w:val="both"/>
              <w:rPr/>
            </w:pPr>
            <w:r>
              <w:rPr/>
              <w:t>by will, other testamentary document or intestate succession to the legal representative, heir, beneficiary or a member of the immediate family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vii)</w:t>
            </w:r>
          </w:p>
        </w:tc>
        <w:tc>
          <w:tcPr>
            <w:tcW w:w="9895" w:type="dxa"/>
            <w:tcBorders/>
            <w:vAlign w:val="center"/>
          </w:tcPr>
          <w:p>
            <w:pPr>
              <w:pStyle w:val="TableContents"/>
              <w:bidi w:val="0"/>
              <w:spacing w:before="0" w:after="283"/>
              <w:jc w:val="both"/>
              <w:rPr/>
            </w:pPr>
            <w:r>
              <w:rPr/>
              <w:t>by operation of law, such as pursuant to a qualified domestic order or in connection with a divorce settlement, provided that the transferee agrees to sign and deliver a lock-up agreement substantially in the form of this Letter Agreement for the balance of the Restriction Period, and provided further, that any filing under Section 13 or Section 16(a) of the Exchange Act that is required to be made during the Restriction Period as a result of such transfer shall include a statement that such transfer has occurred by operation of law,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viii)</w:t>
            </w:r>
          </w:p>
        </w:tc>
        <w:tc>
          <w:tcPr>
            <w:tcW w:w="9836" w:type="dxa"/>
            <w:tcBorders/>
            <w:vAlign w:val="center"/>
          </w:tcPr>
          <w:p>
            <w:pPr>
              <w:pStyle w:val="TableContents"/>
              <w:bidi w:val="0"/>
              <w:spacing w:before="0" w:after="283"/>
              <w:jc w:val="both"/>
              <w:rPr/>
            </w:pPr>
            <w:r>
              <w:rPr/>
              <w:t>pursuant to a bona fide third party tender offer, merger, consolidation or other similar transaction made to all holders of the Ordinary Shares and/or ADSs of the Company involving a change of control (as defined below) of the Company after the closing of the Offering and approved by the Company’s board of directors; provided that in the event that the tender offer, merger, consolidation or other such transaction is not completed, the Securities owned by the undersigned shall remain subject to the restrictions contained in this Letter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the delivery of Ordinary Shares and/or ADSs to the undersigned upon (i) exercise of any options granted under any employee benefit plan of the Company; provided that any Ordinary Shares and/or ADSs or Securities acquired in connection with any such exercise will be subject to the restrictions set forth in this Letter Agreement, or (ii) the exercise of warrants; provided that such Ordinary Shares and/or ADSs delivered to the undersigned in connection with such exercise are subject to the restrictions set forth in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Ordinary Shares and/or ADSs are made pursuant to such plan during the Restriction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the Company to complete the transactions contemplated by the Agreement, and of the Placement Agent to place the Offering, and that the Placement Agent shall be a third party beneficiary of this Letter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Agreement is not executed within 30 days of the date hereof, or if the Agreement (other than the provisions thereof which survive termination) shall terminate or be terminated prior to payment for and delivery of the securities to be sold thereunder, then this lock-up agreement shall be void and of no further force or effect. Whether or not the Offering actually occurs depends on a number of factors, including market conditions. Any Offering will only be made pursuant to an Agreement, the terms of which are subject to negotiation between the Company and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each of the Company, the Placement Agent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shall have the meanings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bidi w:val="0"/>
        <w:spacing w:before="0" w:after="0"/>
        <w:ind w:left="0" w:right="0" w:hanging="0"/>
        <w:jc w:val="left"/>
        <w:rPr>
          <w:caps w:val="false"/>
          <w:smallCaps w:val="false"/>
        </w:rPr>
      </w:pPr>
      <w:r>
        <w:rPr>
          <w:caps w:val="false"/>
          <w:smallCaps w:val="false"/>
        </w:rPr>
        <w:t> </w:t>
      </w:r>
    </w:p>
    <w:tbl>
      <w:tblPr>
        <w:tblW w:w="2390" w:type="dxa"/>
        <w:jc w:val="left"/>
        <w:tblInd w:w="0" w:type="dxa"/>
        <w:tblLayout w:type="fixed"/>
        <w:tblCellMar>
          <w:top w:w="0" w:type="dxa"/>
          <w:left w:w="0" w:type="dxa"/>
          <w:bottom w:w="28" w:type="dxa"/>
          <w:right w:w="0" w:type="dxa"/>
        </w:tblCellMar>
      </w:tblPr>
      <w:tblGrid>
        <w:gridCol w:w="2315"/>
        <w:gridCol w:w="75"/>
      </w:tblGrid>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Position in Company, if any</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Company agrees to enforce the restrictions on transfer set forth in this Letter Agreement.</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560"/>
        <w:gridCol w:w="3050"/>
        <w:gridCol w:w="75"/>
      </w:tblGrid>
      <w:tr>
        <w:trPr/>
        <w:tc>
          <w:tcPr>
            <w:tcW w:w="36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YXT.COM GROUP HOLDING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Xiaoyan Lu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0" w:type="dxa"/>
            <w:tcBorders/>
            <w:vAlign w:val="center"/>
          </w:tcPr>
          <w:p>
            <w:pPr>
              <w:pStyle w:val="TableContents"/>
              <w:bidi w:val="0"/>
              <w:spacing w:before="0" w:after="283"/>
              <w:jc w:val="left"/>
              <w:rPr/>
            </w:pPr>
            <w:r>
              <w:rPr/>
              <w:t> </w:t>
            </w:r>
            <w:r>
              <w:rPr>
                <w:rFonts w:ascii="Times New Roman;Times;Serif" w:hAnsi="Times New Roman;Times;Serif"/>
                <w:sz w:val="20"/>
              </w:rPr>
              <w:t>Director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623300d1_ex10-2.htm"/>
      <w:bookmarkStart w:id="9" w:name="kstm2623300d1_ex102"/>
      <w:bookmarkEnd w:id="8"/>
      <w:bookmarkEnd w:id="9"/>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Securities Purchase Agreement, dated as of August 14, 2026 (the “</w:t>
            </w:r>
            <w:r>
              <w:rPr>
                <w:rFonts w:ascii="Times New Roman;Times;Serif" w:hAnsi="Times New Roman;Times;Serif"/>
                <w:sz w:val="20"/>
                <w:u w:val="single"/>
              </w:rPr>
              <w:t>Agreement</w:t>
            </w:r>
            <w:r>
              <w:rPr>
                <w:rFonts w:ascii="Times New Roman;Times;Serif" w:hAnsi="Times New Roman;Times;Serif"/>
                <w:sz w:val="20"/>
              </w:rPr>
              <w:t>”), between YXT.COM GROUP HOLDING LIMITED, a Cayman Islands exempted company (the “</w:t>
            </w:r>
            <w:r>
              <w:rPr>
                <w:rFonts w:ascii="Times New Roman;Times;Serif" w:hAnsi="Times New Roman;Times;Serif"/>
                <w:sz w:val="20"/>
                <w:u w:val="single"/>
              </w:rPr>
              <w:t>Company</w:t>
            </w:r>
            <w:r>
              <w:rPr>
                <w:rFonts w:ascii="Times New Roman;Times;Serif" w:hAnsi="Times New Roman;Times;Serif"/>
                <w:sz w:val="20"/>
              </w:rPr>
              <w:t>”) and the purchasers signatory thereto (each a “</w:t>
            </w:r>
            <w:r>
              <w:rPr>
                <w:rFonts w:ascii="Times New Roman;Times;Serif" w:hAnsi="Times New Roman;Times;Serif"/>
                <w:sz w:val="20"/>
                <w:u w:val="single"/>
              </w:rPr>
              <w:t>Purchaser</w:t>
            </w:r>
            <w:r>
              <w:rPr>
                <w:rFonts w:ascii="Times New Roman;Times;Serif" w:hAnsi="Times New Roman;Times;Serif"/>
                <w:sz w:val="20"/>
              </w:rPr>
              <w:t>”, and collectively, the “</w:t>
            </w:r>
            <w:r>
              <w:rPr>
                <w:rFonts w:ascii="Times New Roman;Times;Serif" w:hAnsi="Times New Roman;Times;Serif"/>
                <w:sz w:val="20"/>
                <w:u w:val="single"/>
              </w:rPr>
              <w:t>Purchasers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irrevocably agrees with the Company that, from the date hereof until fifteen (15) days following the closing of the offering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of securities by the Company as described in the Agreement (such period, the “</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for which Offering Univest Securities LLC (the “</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is acting as exclusive placement agent of the Company, the undersigned will not, without the prior written consent of the Placement Agent,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with respect to, any Ordinary Shares and/or ADSs of the Company or securities convertible, exchangeable or exercisable into or for Ordinary Shares and/or ADSs of the Company beneficially owned, held or hereafter acquired by the undersigned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set forth on the signature page hereto, or make any demand for or exercise any right or cause to be filed a registration, including any amendments thereto, with respect to the registration of any Ordinary Shares and/or ADSs or Ordinary Share Equivalents or publicly disclose the intention to do any of the foregoing. Beneficial ownership shall be calculated in accordance with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the Company receives a signed lock-up letter agreement (in the form of this letter agreement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transfer:</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95"/>
        <w:gridCol w:w="140"/>
        <w:gridCol w:w="2165"/>
      </w:tblGrid>
      <w:tr>
        <w:trPr/>
        <w:tc>
          <w:tcPr>
            <w:tcW w:w="795" w:type="dxa"/>
            <w:tcBorders/>
            <w:vAlign w:val="center"/>
          </w:tcPr>
          <w:p>
            <w:pPr>
              <w:pStyle w:val="TableContents"/>
              <w:bidi w:val="0"/>
              <w:spacing w:before="0" w:after="283"/>
              <w:ind w:left="0" w:right="0" w:firstLine="720"/>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w:t>
            </w:r>
            <w:r>
              <w:rPr>
                <w:rFonts w:ascii="Times New Roman;Times;Serif" w:hAnsi="Times New Roman;Times;Serif"/>
                <w:i/>
                <w:sz w:val="20"/>
              </w:rPr>
              <w:t>bona fide</w:t>
            </w:r>
            <w:r>
              <w:rPr>
                <w:rFonts w:ascii="Times New Roman;Times;Serif" w:hAnsi="Times New Roman;Times;Serif"/>
                <w:sz w:val="20"/>
              </w:rPr>
              <w:t> gift or gifts;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
        <w:gridCol w:w="161"/>
        <w:gridCol w:w="9249"/>
      </w:tblGrid>
      <w:tr>
        <w:trPr/>
        <w:tc>
          <w:tcPr>
            <w:tcW w:w="795" w:type="dxa"/>
            <w:tcBorders/>
            <w:vAlign w:val="center"/>
          </w:tcPr>
          <w:p>
            <w:pPr>
              <w:pStyle w:val="TableContents"/>
              <w:bidi w:val="0"/>
              <w:spacing w:before="0" w:after="283"/>
              <w:ind w:left="0" w:right="0" w:firstLine="720"/>
              <w:jc w:val="both"/>
              <w:rPr/>
            </w:pPr>
            <w:r>
              <w:rPr/>
              <w:t> </w:t>
            </w:r>
          </w:p>
        </w:tc>
        <w:tc>
          <w:tcPr>
            <w:tcW w:w="1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
        <w:gridCol w:w="233"/>
        <w:gridCol w:w="9177"/>
      </w:tblGrid>
      <w:tr>
        <w:trPr/>
        <w:tc>
          <w:tcPr>
            <w:tcW w:w="795" w:type="dxa"/>
            <w:tcBorders/>
            <w:vAlign w:val="center"/>
          </w:tcPr>
          <w:p>
            <w:pPr>
              <w:pStyle w:val="TableContents"/>
              <w:bidi w:val="0"/>
              <w:spacing w:before="0" w:after="283"/>
              <w:ind w:left="0" w:right="0" w:firstLine="720"/>
              <w:jc w:val="both"/>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1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corporation, partnership, limited liability company, or other business entity all of the equity holders of which consist of the undersigned and/or the immediate family of the undersigned;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
        <w:gridCol w:w="202"/>
        <w:gridCol w:w="9208"/>
      </w:tblGrid>
      <w:tr>
        <w:trPr/>
        <w:tc>
          <w:tcPr>
            <w:tcW w:w="795" w:type="dxa"/>
            <w:tcBorders/>
            <w:vAlign w:val="center"/>
          </w:tcPr>
          <w:p>
            <w:pPr>
              <w:pStyle w:val="TableContents"/>
              <w:bidi w:val="0"/>
              <w:spacing w:before="0" w:after="283"/>
              <w:ind w:left="0" w:right="0" w:firstLine="720"/>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bl>
    <w:p>
      <w:pPr>
        <w:pStyle w:val="TextBody"/>
        <w:bidi w:val="0"/>
        <w:spacing w:before="0" w:after="0"/>
        <w:ind w:left="0" w:right="0" w:firstLine="72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95"/>
        <w:gridCol w:w="185"/>
        <w:gridCol w:w="5045"/>
      </w:tblGrid>
      <w:tr>
        <w:trPr/>
        <w:tc>
          <w:tcPr>
            <w:tcW w:w="795" w:type="dxa"/>
            <w:tcBorders/>
            <w:vAlign w:val="center"/>
          </w:tcPr>
          <w:p>
            <w:pPr>
              <w:pStyle w:val="TableContents"/>
              <w:bidi w:val="0"/>
              <w:spacing w:before="0" w:after="283"/>
              <w:ind w:left="0" w:right="0" w:firstLine="720"/>
              <w:jc w:val="both"/>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undersigned is a trust, to the beneficiary of such trust; 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
        <w:gridCol w:w="315"/>
        <w:gridCol w:w="9095"/>
      </w:tblGrid>
      <w:tr>
        <w:trPr/>
        <w:tc>
          <w:tcPr>
            <w:tcW w:w="795" w:type="dxa"/>
            <w:tcBorders/>
            <w:vAlign w:val="center"/>
          </w:tcPr>
          <w:p>
            <w:pPr>
              <w:pStyle w:val="TableContents"/>
              <w:bidi w:val="0"/>
              <w:spacing w:before="0" w:after="283"/>
              <w:ind w:left="0" w:right="0" w:firstLine="720"/>
              <w:jc w:val="both"/>
              <w:rPr/>
            </w:pPr>
            <w:r>
              <w:rPr/>
              <w:t> </w:t>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095"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by will, other testamentary document or intestate succession to the legal representative, heir, beneficiary or a member of the immediate family of the undersigned,</w:t>
            </w:r>
          </w:p>
        </w:tc>
      </w:tr>
      <w:tr>
        <w:trPr/>
        <w:tc>
          <w:tcPr>
            <w:tcW w:w="795" w:type="dxa"/>
            <w:tcBorders/>
            <w:vAlign w:val="center"/>
          </w:tcPr>
          <w:p>
            <w:pPr>
              <w:pStyle w:val="TableContents"/>
              <w:bidi w:val="0"/>
              <w:spacing w:before="0" w:after="283"/>
              <w:jc w:val="both"/>
              <w:rPr/>
            </w:pPr>
            <w:r>
              <w:rPr/>
              <w:t> </w:t>
            </w:r>
          </w:p>
        </w:tc>
        <w:tc>
          <w:tcPr>
            <w:tcW w:w="315" w:type="dxa"/>
            <w:tcBorders/>
            <w:vAlign w:val="center"/>
          </w:tcPr>
          <w:p>
            <w:pPr>
              <w:pStyle w:val="TableContents"/>
              <w:bidi w:val="0"/>
              <w:spacing w:before="0" w:after="283"/>
              <w:jc w:val="both"/>
              <w:rPr/>
            </w:pPr>
            <w:r>
              <w:rPr/>
              <w:t> </w:t>
            </w:r>
          </w:p>
        </w:tc>
        <w:tc>
          <w:tcPr>
            <w:tcW w:w="9095" w:type="dxa"/>
            <w:tcBorders/>
            <w:vAlign w:val="center"/>
          </w:tcPr>
          <w:p>
            <w:pPr>
              <w:pStyle w:val="TableContents"/>
              <w:bidi w:val="0"/>
              <w:spacing w:before="0" w:after="283"/>
              <w:ind w:left="0" w:right="0" w:firstLine="720"/>
              <w:jc w:val="both"/>
              <w:rPr/>
            </w:pPr>
            <w:r>
              <w:rPr/>
              <w:t> </w:t>
            </w:r>
          </w:p>
        </w:tc>
      </w:tr>
      <w:tr>
        <w:trPr/>
        <w:tc>
          <w:tcPr>
            <w:tcW w:w="795" w:type="dxa"/>
            <w:tcBorders/>
            <w:vAlign w:val="center"/>
          </w:tcPr>
          <w:p>
            <w:pPr>
              <w:pStyle w:val="TableContents"/>
              <w:bidi w:val="0"/>
              <w:spacing w:before="0" w:after="283"/>
              <w:jc w:val="both"/>
              <w:rPr/>
            </w:pPr>
            <w:r>
              <w:rPr/>
              <w:t> </w:t>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9095" w:type="dxa"/>
            <w:tcBorders/>
            <w:vAlign w:val="center"/>
          </w:tcPr>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law, such as pursuant to a qualified domestic order or in connection with a divorce settlement, provided that the transferee agrees to sign and deliver a lock-up agreement substantially in the form of this Letter Agreement for the balance of the Restriction Period, and provided further, that any filing under Section 13 or Section 16(a) of the Exchange Act that is required to be made during the Restriction Period as a result of such transfer shall include a statement that such transfer has occurred by operation of law, or</w:t>
            </w:r>
          </w:p>
        </w:tc>
      </w:tr>
      <w:tr>
        <w:trPr/>
        <w:tc>
          <w:tcPr>
            <w:tcW w:w="795" w:type="dxa"/>
            <w:tcBorders/>
            <w:vAlign w:val="center"/>
          </w:tcPr>
          <w:p>
            <w:pPr>
              <w:pStyle w:val="TableContents"/>
              <w:bidi w:val="0"/>
              <w:spacing w:before="0" w:after="283"/>
              <w:jc w:val="both"/>
              <w:rPr/>
            </w:pPr>
            <w:r>
              <w:rPr/>
              <w:t> </w:t>
            </w:r>
          </w:p>
        </w:tc>
        <w:tc>
          <w:tcPr>
            <w:tcW w:w="315" w:type="dxa"/>
            <w:tcBorders/>
            <w:vAlign w:val="center"/>
          </w:tcPr>
          <w:p>
            <w:pPr>
              <w:pStyle w:val="TableContents"/>
              <w:bidi w:val="0"/>
              <w:spacing w:before="0" w:after="283"/>
              <w:jc w:val="both"/>
              <w:rPr/>
            </w:pPr>
            <w:r>
              <w:rPr/>
              <w:t> </w:t>
            </w:r>
          </w:p>
        </w:tc>
        <w:tc>
          <w:tcPr>
            <w:tcW w:w="9095" w:type="dxa"/>
            <w:tcBorders/>
            <w:vAlign w:val="center"/>
          </w:tcPr>
          <w:p>
            <w:pPr>
              <w:pStyle w:val="TableContents"/>
              <w:bidi w:val="0"/>
              <w:spacing w:before="0" w:after="283"/>
              <w:ind w:left="0" w:right="0" w:firstLine="720"/>
              <w:jc w:val="left"/>
              <w:rPr/>
            </w:pPr>
            <w:r>
              <w:rPr/>
              <w:t> </w:t>
            </w:r>
          </w:p>
        </w:tc>
      </w:tr>
      <w:tr>
        <w:trPr/>
        <w:tc>
          <w:tcPr>
            <w:tcW w:w="795" w:type="dxa"/>
            <w:tcBorders/>
            <w:vAlign w:val="center"/>
          </w:tcPr>
          <w:p>
            <w:pPr>
              <w:pStyle w:val="TableContents"/>
              <w:bidi w:val="0"/>
              <w:spacing w:before="0" w:after="283"/>
              <w:jc w:val="both"/>
              <w:rPr/>
            </w:pPr>
            <w:r>
              <w:rPr/>
              <w:t> </w:t>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viii)</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a bona fide third party tender offer, merger, consolidation or other similar transaction made to all holders of the Ordinary Shares and/or ADSs of the Company involving a change of control (as defined below) of the Company after the closing of the Offering and approved by the Company’s board of directors; provided that in the event that the tender offer, merger, consolidation or other such transaction is not completed, the Securities owned by the undersigned shall remain subject to the restrictions contained in this Letter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the delivery of Ordinary Shares and/or ADSs to the undersigned upon (i) exercise of any options granted under any employee benefit plan of the Company; provided that any Ordinary Shares and/or ADSs or Securities acquired in connection with any such exercise will be subject to the restrictions set forth in this Letter Agreement, or (ii) the exercise of warrants; provided that such Ordinary Shares and/or ADSs delivered to the undersigned in connection with such exercise are subject to the restrictions set forth in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Ordinary Shares and/or ADSs are made pursuant to such plan during the Restriction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the Company to complete the transactions contemplated by the Agreement, and of the Placement Agent to place the Offering, and that the Placement Agent shall be a third party beneficiary of this Letter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Agreement is not executed within 30 days of the date hereof, or if the Agreement (other than the provisions thereof which survive termination) shall terminate or be terminated prior to payment for and delivery of the securities to be sold thereunder, then this lock-up agreement shall be void and of no further force or effect. Whether or not the Offering actually occurs depends on a number of factors, including market conditions. Any Offering will only be made pursuant to an Agreement, the terms of which are subject to negotiation between the Company and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each of the Company, the Placement Agent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shall have the meanings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bidi w:val="0"/>
        <w:spacing w:before="0" w:after="0"/>
        <w:ind w:left="0" w:right="0" w:hanging="0"/>
        <w:jc w:val="left"/>
        <w:rPr>
          <w:caps w:val="false"/>
          <w:smallCaps w:val="false"/>
        </w:rPr>
      </w:pPr>
      <w:r>
        <w:rPr>
          <w:caps w:val="false"/>
          <w:smallCaps w:val="false"/>
        </w:rPr>
        <w:t> </w:t>
      </w:r>
    </w:p>
    <w:tbl>
      <w:tblPr>
        <w:tblW w:w="2390" w:type="dxa"/>
        <w:jc w:val="left"/>
        <w:tblInd w:w="0" w:type="dxa"/>
        <w:tblLayout w:type="fixed"/>
        <w:tblCellMar>
          <w:top w:w="0" w:type="dxa"/>
          <w:left w:w="0" w:type="dxa"/>
          <w:bottom w:w="28" w:type="dxa"/>
          <w:right w:w="0" w:type="dxa"/>
        </w:tblCellMar>
      </w:tblPr>
      <w:tblGrid>
        <w:gridCol w:w="2315"/>
        <w:gridCol w:w="75"/>
      </w:tblGrid>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Position in Company, if any</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Company agrees to enforce the restrictions on transfer set forth in this Letter Agreement.</w:t>
      </w:r>
    </w:p>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563"/>
        <w:gridCol w:w="3011"/>
        <w:gridCol w:w="75"/>
      </w:tblGrid>
      <w:tr>
        <w:trPr/>
        <w:tc>
          <w:tcPr>
            <w:tcW w:w="35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YXT.COM GROUP HOLDING LIMITED</w:t>
            </w:r>
          </w:p>
        </w:tc>
        <w:tc>
          <w:tcPr>
            <w:tcW w:w="75" w:type="dxa"/>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1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Xiaoyan Lu</w:t>
            </w:r>
          </w:p>
        </w:tc>
        <w:tc>
          <w:tcPr>
            <w:tcW w:w="75" w:type="dxa"/>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10" w:name="tm2623300d1_ex99-1.htm"/>
      <w:bookmarkStart w:id="11" w:name="kstm2623300d1_ex991"/>
      <w:bookmarkEnd w:id="10"/>
      <w:bookmarkEnd w:id="11"/>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YXT.COM GROUP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 Huqiu District, Suzhou</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Jiangsu, 215011,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 or Madams: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lawyers of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and are qualified to issue opinions on the PRC Laws. For the purpose of this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the “PRC Laws” shall mean all officially published and publicly available laws, statutes, regulations, orders, decrees, guidelines, notices, circulars, announcements, and subordinate legislations of the PRC currently in effect as of the date of this Opinion, and shall not include the Laws of Hong Kong Special Administrative Region, the Macao Special Administrative Region and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PRC counsel for YXT.COM GROUP HOLDING LIMITED, a corporation organized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Prospectus Supplement to its registration statement on Form F-3 (File No. 333-292185), including all amendments or supplements thereto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i w:val="false"/>
          <w:caps w:val="false"/>
          <w:smallCaps w:val="false"/>
          <w:sz w:val="20"/>
        </w:rPr>
        <w:t>Filing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also delivered in connection with the offering and sale by the Company of 500,000 American depositary shares, each representing thirty (30) Class A ordinary shares of the Company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pursuant to (i) the securities purchase agreement, dated as of August 14, 2026, by and among the Company and the purchasers signatory thereto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(ii) the placement agency agreement, dated as of August 14, 2026, by and between the Company and Univest Securities, LLC (the “</w:t>
      </w:r>
      <w:r>
        <w:rPr>
          <w:rFonts w:ascii="Times New Roman;Times;Serif" w:hAnsi="Times New Roman;Times;Serif"/>
          <w:b/>
          <w:i w:val="false"/>
          <w:caps w:val="false"/>
          <w:smallCaps w:val="false"/>
          <w:sz w:val="20"/>
        </w:rPr>
        <w:t>Placement Agency Agreement</w:t>
      </w:r>
      <w:r>
        <w:rPr>
          <w:rFonts w:ascii="Times New Roman;Times;Serif" w:hAnsi="Times New Roman;Times;Serif"/>
          <w:b w:val="false"/>
          <w:i w:val="false"/>
          <w:caps w:val="false"/>
          <w:smallCaps w:val="false"/>
          <w:sz w:val="20"/>
        </w:rPr>
        <w:t>”), and (iii) the lock-up agreements, dated as of August 14, 2026, executed by each of the Company and the directors and officers of the Company (together with the Securities Purchase Agreement and the Placement Agency Agreement,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the originals and/or copies, certified or otherwise identified to our satisfaction, of documents provided to us by the Company and such other documents, corporate records, certificates issued by Governmental Authorities and officers of the Company and other instruments as we have deemed necessary or advisable for the purposes of rendering this Opinion (collectively,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Opinion shall have the respective meanings ascribed to them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and for the purpose of rendering this Opinion, we have assumed, without further inquiry,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t>the genuineness of all the signatures, seals and chops, the authenticity of the Documents submitted to us as originals and the conformity with authentic original documents submitted to us as copies and the authenticity of such originals;</w:t>
            </w:r>
          </w:p>
        </w:tc>
      </w:tr>
    </w:tbl>
    <w:p>
      <w:pPr>
        <w:pStyle w:val="TextBody"/>
        <w:bidi w:val="0"/>
        <w:spacing w:before="0" w:after="0"/>
        <w:ind w:left="4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t>the truthfulness, accuracy, and completeness of the Documents, as well as the factual statements contained in the Documents, and the Documents and the factual statements contained therein are and will remain not misleading;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both"/>
              <w:rPr/>
            </w:pPr>
            <w:r>
              <w:rPr/>
              <w:t>that the Documents provided to us remain in full force and effect up to the date of this Opinion and that none of the Documents has been revoked, amended, varied or supplemented except as otherwise indicated in such Documents;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(iv)</w:t>
            </w:r>
          </w:p>
        </w:tc>
        <w:tc>
          <w:tcPr>
            <w:tcW w:w="9900" w:type="dxa"/>
            <w:tcBorders/>
            <w:vAlign w:val="center"/>
          </w:tcPr>
          <w:p>
            <w:pPr>
              <w:pStyle w:val="TableContents"/>
              <w:bidi w:val="0"/>
              <w:spacing w:before="0" w:after="283"/>
              <w:jc w:val="both"/>
              <w:rPr/>
            </w:pPr>
            <w:r>
              <w:rPr/>
              <w:t>that the information provided to us by the Company and its PRC subsidiaries, its VIE and VIE’s subsidiaries (collectively referred to as the “</w:t>
            </w:r>
            <w:r>
              <w:rPr>
                <w:b/>
              </w:rPr>
              <w:t>PRC Operating Entities</w:t>
            </w:r>
            <w:r>
              <w:rPr/>
              <w:t>”) in response to our enquiries for the purpose of this Opinion is true, accurate, complete and not misleading, and that the Company and the PRC Operating Entities have not withheld anything that, if disclosed to us, would reasonably cause us to alter this Opinion in whole or in part;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(v)</w:t>
            </w:r>
          </w:p>
        </w:tc>
        <w:tc>
          <w:tcPr>
            <w:tcW w:w="9914" w:type="dxa"/>
            <w:tcBorders/>
            <w:vAlign w:val="center"/>
          </w:tcPr>
          <w:p>
            <w:pPr>
              <w:pStyle w:val="TableContents"/>
              <w:bidi w:val="0"/>
              <w:spacing w:before="0" w:after="283"/>
              <w:jc w:val="both"/>
              <w:rPr/>
            </w:pPr>
            <w:r>
              <w:rPr/>
              <w:t>all Governmental Authorizations and other official statements or documentation are obtained by lawful means in due course;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(vi)</w:t>
            </w:r>
          </w:p>
        </w:tc>
        <w:tc>
          <w:tcPr>
            <w:tcW w:w="9880" w:type="dxa"/>
            <w:tcBorders/>
            <w:vAlign w:val="center"/>
          </w:tcPr>
          <w:p>
            <w:pPr>
              <w:pStyle w:val="TableContents"/>
              <w:bidi w:val="0"/>
              <w:spacing w:before="0" w:after="283"/>
              <w:jc w:val="both"/>
              <w:rPr/>
            </w:pPr>
            <w:r>
              <w:rPr/>
              <w:t>that each of the parties other than the PRC Operating Entities is duly organized, validly existing and in good standing under the laws of its jurisdiction of organization and/or incorporation (as the case may be);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(vii)</w:t>
            </w:r>
          </w:p>
        </w:tc>
        <w:tc>
          <w:tcPr>
            <w:tcW w:w="9833" w:type="dxa"/>
            <w:tcBorders/>
            <w:vAlign w:val="center"/>
          </w:tcPr>
          <w:p>
            <w:pPr>
              <w:pStyle w:val="TableContents"/>
              <w:bidi w:val="0"/>
              <w:spacing w:before="0" w:after="283"/>
              <w:jc w:val="both"/>
              <w:rPr/>
            </w:pPr>
            <w:r>
              <w:rPr/>
              <w:t>that all parties other than the PRC Operating Entities have the requisite power and authority to enter into, execute, deliver and perform all the Documents to which they are parties and have duly executed, delivered, performed, and will duly perform their obligations under all the Documents to which they are parties;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283"/>
              <w:jc w:val="left"/>
              <w:rPr/>
            </w:pPr>
            <w:r>
              <w:rPr/>
              <w:t>(viii)</w:t>
            </w:r>
          </w:p>
        </w:tc>
        <w:tc>
          <w:tcPr>
            <w:tcW w:w="9744" w:type="dxa"/>
            <w:tcBorders/>
            <w:vAlign w:val="center"/>
          </w:tcPr>
          <w:p>
            <w:pPr>
              <w:pStyle w:val="TableContents"/>
              <w:bidi w:val="0"/>
              <w:spacing w:before="0" w:after="283"/>
              <w:jc w:val="both"/>
              <w:rPr/>
            </w:pPr>
            <w:r>
              <w:rPr/>
              <w:t>all documents submitted to us are legal, valid, binding and enforceable under all such laws as govern or relate to them other than the PRC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rendering this Opinion, where important facts were not independently established to us, we have relied upon certificates issued by Governmental Authorities and representatives of the shareholders of the Company and the PRC Operating Entities with proper authority and upon representations made in or pursuant to the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this Opinion are defined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Authorities</w:t>
      </w:r>
      <w:r>
        <w:rPr>
          <w:rFonts w:ascii="Times New Roman;Times;Serif" w:hAnsi="Times New Roman;Times;Serif"/>
          <w:b w:val="false"/>
          <w:i w:val="false"/>
          <w:caps w:val="false"/>
          <w:smallCaps w:val="false"/>
          <w:sz w:val="20"/>
        </w:rPr>
        <w:t>” means any national, provincial or local court, Governmental agency or body, stock exchange authorities or any other regulator in the PRC, and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means licenses, consents, authorizations, permissions, declarations, approvals, orders, registrations, clearances, annual inspections, waivers, qualifications, certificates and permits from, and the reports to and filings with, Governmental Authorities pursuant to any applicable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PRC Laws</w:t>
      </w:r>
      <w:r>
        <w:rPr>
          <w:rFonts w:ascii="Times New Roman;Times;Serif" w:hAnsi="Times New Roman;Times;Serif"/>
          <w:b w:val="false"/>
          <w:i w:val="false"/>
          <w:caps w:val="false"/>
          <w:smallCaps w:val="false"/>
          <w:sz w:val="20"/>
        </w:rPr>
        <w:t>” means all officially published and publicly available laws, statutes, regulations, rules, orders, decrees, guidelines, notices, circulars, announcements, judicial interpretations and subordinate legislations of the PRC currently in effect as of the date of this Opinion. For the purpose of this Opinion, the PRC Laws shall not include the laws of Hong Kong Special Administrative Region, the Macao Special Administrative Region and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otherwise defined shall have the same meanings as specified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disclosures contained in the Prospectus Supplement and the qualifications set out below, we are of the opinion as of the issuance date of this Opinion that:</w:t>
      </w:r>
    </w:p>
    <w:p>
      <w:pPr>
        <w:pStyle w:val="TextBody"/>
        <w:bidi w:val="0"/>
        <w:spacing w:before="0" w:after="0"/>
        <w:ind w:left="709"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215"/>
        <w:gridCol w:w="6110"/>
      </w:tblGrid>
      <w:tr>
        <w:trPr/>
        <w:tc>
          <w:tcPr>
            <w:tcW w:w="215"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There is uncertainty as to whether the courts of the PRC, would: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recognize or enforce judgments of United States courts obtained against the Company or its directors or officers predicated upon the civil liability provisions of the securities laws of the United States or any state in the United States;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both"/>
              <w:rPr/>
            </w:pPr>
            <w:r>
              <w:rPr/>
              <w:t>entertain original actions brought in each respective jurisdiction against the Company or its directors or officers predicated upon the securities laws of the United States or any state in the United States.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2.</w:t>
            </w:r>
          </w:p>
        </w:tc>
        <w:tc>
          <w:tcPr>
            <w:tcW w:w="10047" w:type="dxa"/>
            <w:tcBorders/>
            <w:vAlign w:val="center"/>
          </w:tcPr>
          <w:p>
            <w:pPr>
              <w:pStyle w:val="TableContents"/>
              <w:bidi w:val="0"/>
              <w:spacing w:before="0" w:after="283"/>
              <w:jc w:val="both"/>
              <w:rPr/>
            </w:pPr>
            <w:r>
              <w:rPr/>
              <w:t>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the Company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the Company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Class A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283"/>
              <w:jc w:val="both"/>
              <w:rPr/>
            </w:pPr>
            <w:r>
              <w:rPr/>
              <w:t>This Opinion is rendered only with respect to the PRC Laws and we have made no investigations in any other jurisdiction and no opinion is expressed or implied as to the laws of any other jurisdiction. PRC Laws as used in this Opinion refers to PRC Laws publicly available and currently in force as of the date of this Opinion and there is no assurance that any of such PRC Laws will not be changed, amended, replaced or revoked in the immediate future or in the longer term with or without retroactive effect.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This Opinion is given only as to, and based on, circumstances and matters of fact existing and known to us on the date of this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pPr>
            <w:r>
              <w:rPr/>
              <w:t>(c)</w:t>
            </w:r>
          </w:p>
        </w:tc>
        <w:tc>
          <w:tcPr>
            <w:tcW w:w="9984" w:type="dxa"/>
            <w:tcBorders/>
            <w:vAlign w:val="center"/>
          </w:tcPr>
          <w:p>
            <w:pPr>
              <w:pStyle w:val="TableContents"/>
              <w:bidi w:val="0"/>
              <w:spacing w:before="0" w:after="283"/>
              <w:jc w:val="both"/>
              <w:rPr/>
            </w:pPr>
            <w:r>
              <w:rPr/>
              <w:t>This Opinion is, insofar as it relates to the validity, effectiveness and enforceability , subject to (i) any applicable bankruptcy, insolvency, fraudulent transfer, reorganization, moratorium or similar laws affecting creditors’ rights generally; (ii) possible judicial or administrative actions or any laws affecting creditors’ rights generally; (iii) certain equitable, legal or statutory principles affecting the validity and enforceability of contractual rights generally under concepts of public interest, state interest, national security, reasonableness, good faith and fair dealing, and applicable statutes of limitation; (iv) any circumstance in connection with formulation, execution or implementation of any legal documents that would be deemed materially mistaken, clearly unconscionable, unlawful, fraudulent or coercionary at the conclusions thereof; and (v) judicial discretion with respect to the availability of indemnifications, remedies or defenses, the calculation of damages, the entitlement to attorney’s fees and other costs, the waiver of immunity from jurisdiction of any court or from legal process.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pPr>
            <w:r>
              <w:rPr/>
              <w:t>This Opinion is subject to the discretion of any competent PRC legislative, administrative, judicial bodies or Governmental Authorities in exercising their authority in the PRC in connection with the interpretation, implementation and application of relevant PRC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intended to be used in the context which is specifically referred to herein, and each paragraph should be considered at as a whole and no part should be extracted and referred to independently. Except as expressly provided herein, it may not, without our prior written permission, be relied upon by any person other than the addressees hereof, or used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in, and the filing hereof as an exhibit to a Report of Foreign Private Issuer on Form 6-K that is incorporated by reference into the Registration Statement on Form F-3 (File No. 333-292185), and further consent to the reference of our name under the sections of Prospectus Supplement entitled “Enforceability of Civil Liabilities”, “Taxation” and “Legal Matters”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PRC Legal Opinions Issued by Global Law Office]</w:t>
      </w:r>
    </w:p>
    <w:p>
      <w:pPr>
        <w:pStyle w:val="TextBody"/>
        <w:bidi w:val="0"/>
        <w:spacing w:before="0" w:after="0"/>
        <w:ind w:left="0" w:right="0" w:hanging="0"/>
        <w:jc w:val="center"/>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1595"/>
        <w:gridCol w:w="75"/>
      </w:tblGrid>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Law Office</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Law Office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38947</Words>
  <Characters>207435</Characters>
  <CharactersWithSpaces>247124</CharactersWithSpaces>
  <Paragraphs>1735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