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26, 2026</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333-292185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Amendment No.1</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YXT.COM GROUP HOLDING LIMITED</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7" w:lineRule="exact"/>
        <w:rPr>
          <w:sz w:val="24"/>
          <w:szCs w:val="24"/>
          <w:color w:val="auto"/>
        </w:rPr>
      </w:pPr>
    </w:p>
    <w:tbl>
      <w:tblPr>
        <w:tblLayout w:type="fixed"/>
        <w:tblInd w:w="700" w:type="dxa"/>
        <w:tblCellMar>
          <w:top w:w="0" w:type="dxa"/>
          <w:left w:w="0" w:type="dxa"/>
          <w:bottom w:w="0" w:type="dxa"/>
          <w:right w:w="0" w:type="dxa"/>
        </w:tblCellMar>
      </w:tblPr>
      <w:tr>
        <w:trPr>
          <w:trHeight w:val="161"/>
        </w:trPr>
        <w:tc>
          <w:tcPr>
            <w:tcW w:w="3220" w:type="dxa"/>
            <w:vAlign w:val="bottom"/>
          </w:tcPr>
          <w:p>
            <w:pPr>
              <w:jc w:val="center"/>
              <w:ind w:left="1109"/>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5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48"/>
        </w:trPr>
        <w:tc>
          <w:tcPr>
            <w:tcW w:w="3220" w:type="dxa"/>
            <w:vAlign w:val="bottom"/>
          </w:tcPr>
          <w:p>
            <w:pPr>
              <w:jc w:val="center"/>
              <w:ind w:left="108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jc w:val="center"/>
              <w:ind w:right="14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20" w:type="dxa"/>
            <w:vAlign w:val="bottom"/>
          </w:tcPr>
          <w:p>
            <w:pPr>
              <w:jc w:val="center"/>
              <w:ind w:left="110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74"/>
        </w:trPr>
        <w:tc>
          <w:tcPr>
            <w:tcW w:w="3220" w:type="dxa"/>
            <w:vAlign w:val="bottom"/>
          </w:tcPr>
          <w:p>
            <w:pPr>
              <w:spacing w:after="0"/>
              <w:rPr>
                <w:sz w:val="15"/>
                <w:szCs w:val="15"/>
                <w:color w:val="auto"/>
              </w:rPr>
            </w:pPr>
          </w:p>
        </w:tc>
        <w:tc>
          <w:tcPr>
            <w:tcW w:w="37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Room 501-502, No. 78 East Jinshan Road</w:t>
            </w:r>
          </w:p>
        </w:tc>
        <w:tc>
          <w:tcPr>
            <w:tcW w:w="3060" w:type="dxa"/>
            <w:vAlign w:val="bottom"/>
          </w:tcPr>
          <w:p>
            <w:pPr>
              <w:spacing w:after="0"/>
              <w:rPr>
                <w:sz w:val="15"/>
                <w:szCs w:val="15"/>
                <w:color w:val="auto"/>
              </w:rPr>
            </w:pPr>
          </w:p>
        </w:tc>
      </w:tr>
      <w:tr>
        <w:trPr>
          <w:trHeight w:val="149"/>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2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Huqiu District, Suzhou</w:t>
            </w:r>
          </w:p>
        </w:tc>
        <w:tc>
          <w:tcPr>
            <w:tcW w:w="3060" w:type="dxa"/>
            <w:vAlign w:val="bottom"/>
          </w:tcPr>
          <w:p>
            <w:pPr>
              <w:spacing w:after="0"/>
              <w:rPr>
                <w:sz w:val="12"/>
                <w:szCs w:val="12"/>
                <w:color w:val="auto"/>
              </w:rPr>
            </w:pPr>
          </w:p>
        </w:tc>
      </w:tr>
      <w:tr>
        <w:trPr>
          <w:trHeight w:val="148"/>
        </w:trPr>
        <w:tc>
          <w:tcPr>
            <w:tcW w:w="3220" w:type="dxa"/>
            <w:vAlign w:val="bottom"/>
          </w:tcPr>
          <w:p>
            <w:pPr>
              <w:spacing w:after="0"/>
              <w:rPr>
                <w:sz w:val="12"/>
                <w:szCs w:val="12"/>
                <w:color w:val="auto"/>
              </w:rPr>
            </w:pPr>
          </w:p>
        </w:tc>
        <w:tc>
          <w:tcPr>
            <w:tcW w:w="37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Jiangsu, 215011, People’s Republic of China</w:t>
            </w:r>
          </w:p>
        </w:tc>
        <w:tc>
          <w:tcPr>
            <w:tcW w:w="3060" w:type="dxa"/>
            <w:vAlign w:val="bottom"/>
          </w:tcPr>
          <w:p>
            <w:pPr>
              <w:spacing w:after="0"/>
              <w:rPr>
                <w:sz w:val="12"/>
                <w:szCs w:val="12"/>
                <w:color w:val="auto"/>
              </w:rPr>
            </w:pPr>
          </w:p>
        </w:tc>
      </w:tr>
      <w:tr>
        <w:trPr>
          <w:trHeight w:val="153"/>
        </w:trPr>
        <w:tc>
          <w:tcPr>
            <w:tcW w:w="3220" w:type="dxa"/>
            <w:vAlign w:val="bottom"/>
          </w:tcPr>
          <w:p>
            <w:pPr>
              <w:spacing w:after="0"/>
              <w:rPr>
                <w:sz w:val="13"/>
                <w:szCs w:val="13"/>
                <w:color w:val="auto"/>
              </w:rPr>
            </w:pPr>
          </w:p>
        </w:tc>
        <w:tc>
          <w:tcPr>
            <w:tcW w:w="2860" w:type="dxa"/>
            <w:vAlign w:val="bottom"/>
            <w:gridSpan w:val="2"/>
          </w:tcPr>
          <w:p>
            <w:pPr>
              <w:jc w:val="right"/>
              <w:ind w:right="468"/>
              <w:spacing w:after="0" w:line="153" w:lineRule="exact"/>
              <w:rPr>
                <w:sz w:val="20"/>
                <w:szCs w:val="20"/>
                <w:color w:val="auto"/>
              </w:rPr>
            </w:pPr>
            <w:r>
              <w:rPr>
                <w:rFonts w:ascii="Times New Roman" w:cs="Times New Roman" w:eastAsia="Times New Roman" w:hAnsi="Times New Roman"/>
                <w:sz w:val="14"/>
                <w:szCs w:val="14"/>
                <w:b w:val="1"/>
                <w:bCs w:val="1"/>
                <w:color w:val="auto"/>
              </w:rPr>
              <w:t>+86 (512) 6689 9881</w:t>
            </w:r>
          </w:p>
        </w:tc>
        <w:tc>
          <w:tcPr>
            <w:tcW w:w="9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166"/>
        </w:trPr>
        <w:tc>
          <w:tcPr>
            <w:tcW w:w="6980" w:type="dxa"/>
            <w:vAlign w:val="bottom"/>
            <w:gridSpan w:val="4"/>
          </w:tcPr>
          <w:p>
            <w:pPr>
              <w:jc w:val="center"/>
              <w:ind w:left="2789"/>
              <w:spacing w:after="0"/>
              <w:rPr>
                <w:sz w:val="20"/>
                <w:szCs w:val="20"/>
                <w:color w:val="auto"/>
              </w:rPr>
            </w:pPr>
            <w:r>
              <w:rPr>
                <w:rFonts w:ascii="Times New Roman" w:cs="Times New Roman" w:eastAsia="Times New Roman" w:hAnsi="Times New Roman"/>
                <w:sz w:val="13"/>
                <w:szCs w:val="13"/>
                <w:b w:val="1"/>
                <w:bCs w:val="1"/>
                <w:color w:val="auto"/>
                <w:w w:val="96"/>
              </w:rPr>
              <w:t>(Address and telephone number of Registrant’s principal executive offices)</w:t>
            </w:r>
          </w:p>
        </w:tc>
        <w:tc>
          <w:tcPr>
            <w:tcW w:w="3060" w:type="dxa"/>
            <w:vAlign w:val="bottom"/>
          </w:tcPr>
          <w:p>
            <w:pPr>
              <w:spacing w:after="0"/>
              <w:rPr>
                <w:sz w:val="14"/>
                <w:szCs w:val="14"/>
                <w:color w:val="auto"/>
              </w:rPr>
            </w:pPr>
          </w:p>
        </w:tc>
      </w:tr>
      <w:tr>
        <w:trPr>
          <w:trHeight w:val="192"/>
        </w:trPr>
        <w:tc>
          <w:tcPr>
            <w:tcW w:w="3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85"/>
        </w:trPr>
        <w:tc>
          <w:tcPr>
            <w:tcW w:w="3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Cogency Global Inc.</w:t>
            </w:r>
          </w:p>
        </w:tc>
        <w:tc>
          <w:tcPr>
            <w:tcW w:w="3060" w:type="dxa"/>
            <w:vAlign w:val="bottom"/>
          </w:tcPr>
          <w:p>
            <w:pPr>
              <w:spacing w:after="0"/>
              <w:rPr>
                <w:sz w:val="16"/>
                <w:szCs w:val="16"/>
                <w:color w:val="auto"/>
              </w:rPr>
            </w:pPr>
          </w:p>
        </w:tc>
      </w:tr>
      <w:tr>
        <w:trPr>
          <w:trHeight w:val="149"/>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2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122 East 42nd Street, 18th Floor</w:t>
            </w:r>
          </w:p>
        </w:tc>
        <w:tc>
          <w:tcPr>
            <w:tcW w:w="3060" w:type="dxa"/>
            <w:vAlign w:val="bottom"/>
          </w:tcPr>
          <w:p>
            <w:pPr>
              <w:spacing w:after="0"/>
              <w:rPr>
                <w:sz w:val="12"/>
                <w:szCs w:val="12"/>
                <w:color w:val="auto"/>
              </w:rPr>
            </w:pPr>
          </w:p>
        </w:tc>
      </w:tr>
      <w:tr>
        <w:trPr>
          <w:trHeight w:val="148"/>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2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10168</w:t>
            </w:r>
          </w:p>
        </w:tc>
        <w:tc>
          <w:tcPr>
            <w:tcW w:w="3060" w:type="dxa"/>
            <w:vAlign w:val="bottom"/>
          </w:tcPr>
          <w:p>
            <w:pPr>
              <w:spacing w:after="0"/>
              <w:rPr>
                <w:sz w:val="12"/>
                <w:szCs w:val="12"/>
                <w:color w:val="auto"/>
              </w:rPr>
            </w:pPr>
          </w:p>
        </w:tc>
      </w:tr>
      <w:tr>
        <w:trPr>
          <w:trHeight w:val="153"/>
        </w:trPr>
        <w:tc>
          <w:tcPr>
            <w:tcW w:w="3220" w:type="dxa"/>
            <w:vAlign w:val="bottom"/>
          </w:tcPr>
          <w:p>
            <w:pPr>
              <w:spacing w:after="0"/>
              <w:rPr>
                <w:sz w:val="13"/>
                <w:szCs w:val="13"/>
                <w:color w:val="auto"/>
              </w:rPr>
            </w:pPr>
          </w:p>
        </w:tc>
        <w:tc>
          <w:tcPr>
            <w:tcW w:w="2860" w:type="dxa"/>
            <w:vAlign w:val="bottom"/>
            <w:gridSpan w:val="2"/>
          </w:tcPr>
          <w:p>
            <w:pPr>
              <w:jc w:val="right"/>
              <w:ind w:right="588"/>
              <w:spacing w:after="0" w:line="153" w:lineRule="exact"/>
              <w:rPr>
                <w:sz w:val="20"/>
                <w:szCs w:val="20"/>
                <w:color w:val="auto"/>
              </w:rPr>
            </w:pPr>
            <w:r>
              <w:rPr>
                <w:rFonts w:ascii="Times New Roman" w:cs="Times New Roman" w:eastAsia="Times New Roman" w:hAnsi="Times New Roman"/>
                <w:sz w:val="14"/>
                <w:szCs w:val="14"/>
                <w:b w:val="1"/>
                <w:bCs w:val="1"/>
                <w:color w:val="auto"/>
              </w:rPr>
              <w:t>+1 800-221-0102</w:t>
            </w:r>
          </w:p>
        </w:tc>
        <w:tc>
          <w:tcPr>
            <w:tcW w:w="9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166"/>
        </w:trPr>
        <w:tc>
          <w:tcPr>
            <w:tcW w:w="3220" w:type="dxa"/>
            <w:vAlign w:val="bottom"/>
          </w:tcPr>
          <w:p>
            <w:pPr>
              <w:spacing w:after="0"/>
              <w:rPr>
                <w:sz w:val="14"/>
                <w:szCs w:val="14"/>
                <w:color w:val="auto"/>
              </w:rPr>
            </w:pPr>
          </w:p>
        </w:tc>
        <w:tc>
          <w:tcPr>
            <w:tcW w:w="37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(Name, address, and telephone number of agent for service)</w:t>
            </w:r>
          </w:p>
        </w:tc>
        <w:tc>
          <w:tcPr>
            <w:tcW w:w="3060" w:type="dxa"/>
            <w:vAlign w:val="bottom"/>
          </w:tcPr>
          <w:p>
            <w:pPr>
              <w:spacing w:after="0"/>
              <w:rPr>
                <w:sz w:val="14"/>
                <w:szCs w:val="14"/>
                <w:color w:val="auto"/>
              </w:rPr>
            </w:pPr>
          </w:p>
        </w:tc>
      </w:tr>
      <w:tr>
        <w:trPr>
          <w:trHeight w:val="178"/>
        </w:trPr>
        <w:tc>
          <w:tcPr>
            <w:tcW w:w="3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240"/>
        </w:trPr>
        <w:tc>
          <w:tcPr>
            <w:tcW w:w="3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3060" w:type="dxa"/>
            <w:vAlign w:val="bottom"/>
          </w:tcPr>
          <w:p>
            <w:pPr>
              <w:spacing w:after="0"/>
              <w:rPr>
                <w:sz w:val="20"/>
                <w:szCs w:val="20"/>
                <w:color w:val="auto"/>
              </w:rPr>
            </w:pPr>
          </w:p>
        </w:tc>
      </w:tr>
      <w:tr>
        <w:trPr>
          <w:trHeight w:val="188"/>
        </w:trPr>
        <w:tc>
          <w:tcPr>
            <w:tcW w:w="3220" w:type="dxa"/>
            <w:vAlign w:val="bottom"/>
          </w:tcPr>
          <w:p>
            <w:pPr>
              <w:jc w:val="center"/>
              <w:ind w:right="449"/>
              <w:spacing w:after="0"/>
              <w:rPr>
                <w:sz w:val="20"/>
                <w:szCs w:val="20"/>
                <w:color w:val="auto"/>
              </w:rPr>
            </w:pPr>
            <w:r>
              <w:rPr>
                <w:rFonts w:ascii="Times New Roman" w:cs="Times New Roman" w:eastAsia="Times New Roman" w:hAnsi="Times New Roman"/>
                <w:sz w:val="14"/>
                <w:szCs w:val="14"/>
                <w:b w:val="1"/>
                <w:bCs w:val="1"/>
                <w:color w:val="auto"/>
              </w:rPr>
              <w:t>Shen Cao</w:t>
            </w:r>
          </w:p>
        </w:tc>
        <w:tc>
          <w:tcPr>
            <w:tcW w:w="540" w:type="dxa"/>
            <w:vAlign w:val="bottom"/>
          </w:tcPr>
          <w:p>
            <w:pPr>
              <w:spacing w:after="0"/>
              <w:rPr>
                <w:sz w:val="16"/>
                <w:szCs w:val="16"/>
                <w:color w:val="auto"/>
              </w:rPr>
            </w:pPr>
          </w:p>
        </w:tc>
        <w:tc>
          <w:tcPr>
            <w:tcW w:w="3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 He, Esq.</w:t>
            </w:r>
          </w:p>
        </w:tc>
        <w:tc>
          <w:tcPr>
            <w:tcW w:w="30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Ran Li, Esq.</w:t>
            </w:r>
          </w:p>
        </w:tc>
      </w:tr>
      <w:tr>
        <w:trPr>
          <w:trHeight w:val="148"/>
        </w:trPr>
        <w:tc>
          <w:tcPr>
            <w:tcW w:w="3220" w:type="dxa"/>
            <w:vAlign w:val="bottom"/>
          </w:tcPr>
          <w:p>
            <w:pPr>
              <w:jc w:val="center"/>
              <w:ind w:right="449"/>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540" w:type="dxa"/>
            <w:vAlign w:val="bottom"/>
          </w:tcPr>
          <w:p>
            <w:pPr>
              <w:spacing w:after="0"/>
              <w:rPr>
                <w:sz w:val="12"/>
                <w:szCs w:val="12"/>
                <w:color w:val="auto"/>
              </w:rPr>
            </w:pPr>
          </w:p>
        </w:tc>
        <w:tc>
          <w:tcPr>
            <w:tcW w:w="3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c>
          <w:tcPr>
            <w:tcW w:w="3060" w:type="dxa"/>
            <w:vAlign w:val="bottom"/>
          </w:tcPr>
          <w:p>
            <w:pPr>
              <w:jc w:val="center"/>
              <w:ind w:left="58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9"/>
        </w:trPr>
        <w:tc>
          <w:tcPr>
            <w:tcW w:w="3220" w:type="dxa"/>
            <w:vAlign w:val="bottom"/>
          </w:tcPr>
          <w:p>
            <w:pPr>
              <w:jc w:val="center"/>
              <w:ind w:right="449"/>
              <w:spacing w:after="0" w:line="149" w:lineRule="exact"/>
              <w:rPr>
                <w:sz w:val="20"/>
                <w:szCs w:val="20"/>
                <w:color w:val="auto"/>
              </w:rPr>
            </w:pPr>
            <w:r>
              <w:rPr>
                <w:rFonts w:ascii="Times New Roman" w:cs="Times New Roman" w:eastAsia="Times New Roman" w:hAnsi="Times New Roman"/>
                <w:sz w:val="14"/>
                <w:szCs w:val="14"/>
                <w:b w:val="1"/>
                <w:bCs w:val="1"/>
                <w:color w:val="auto"/>
              </w:rPr>
              <w:t>Room 501-502, No. 78 East Jinshan Road</w:t>
            </w:r>
          </w:p>
        </w:tc>
        <w:tc>
          <w:tcPr>
            <w:tcW w:w="540" w:type="dxa"/>
            <w:vAlign w:val="bottom"/>
          </w:tcPr>
          <w:p>
            <w:pPr>
              <w:spacing w:after="0"/>
              <w:rPr>
                <w:sz w:val="12"/>
                <w:szCs w:val="12"/>
                <w:color w:val="auto"/>
              </w:rPr>
            </w:pPr>
          </w:p>
        </w:tc>
        <w:tc>
          <w:tcPr>
            <w:tcW w:w="3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 18th Floor, The Hong Kong Club Building</w:t>
            </w:r>
          </w:p>
        </w:tc>
        <w:tc>
          <w:tcPr>
            <w:tcW w:w="3060" w:type="dxa"/>
            <w:vAlign w:val="bottom"/>
          </w:tcPr>
          <w:p>
            <w:pPr>
              <w:jc w:val="center"/>
              <w:ind w:left="588"/>
              <w:spacing w:after="0" w:line="149" w:lineRule="exact"/>
              <w:rPr>
                <w:sz w:val="20"/>
                <w:szCs w:val="20"/>
                <w:color w:val="auto"/>
              </w:rPr>
            </w:pPr>
            <w:r>
              <w:rPr>
                <w:rFonts w:ascii="Times New Roman" w:cs="Times New Roman" w:eastAsia="Times New Roman" w:hAnsi="Times New Roman"/>
                <w:sz w:val="14"/>
                <w:szCs w:val="14"/>
                <w:b w:val="1"/>
                <w:bCs w:val="1"/>
                <w:color w:val="auto"/>
              </w:rPr>
              <w:t>2201 China World Office 2,</w:t>
            </w:r>
          </w:p>
        </w:tc>
      </w:tr>
      <w:tr>
        <w:trPr>
          <w:trHeight w:val="148"/>
        </w:trPr>
        <w:tc>
          <w:tcPr>
            <w:tcW w:w="3220" w:type="dxa"/>
            <w:vAlign w:val="bottom"/>
          </w:tcPr>
          <w:p>
            <w:pPr>
              <w:jc w:val="center"/>
              <w:ind w:right="449"/>
              <w:spacing w:after="0" w:line="149" w:lineRule="exact"/>
              <w:rPr>
                <w:sz w:val="20"/>
                <w:szCs w:val="20"/>
                <w:color w:val="auto"/>
              </w:rPr>
            </w:pPr>
            <w:r>
              <w:rPr>
                <w:rFonts w:ascii="Times New Roman" w:cs="Times New Roman" w:eastAsia="Times New Roman" w:hAnsi="Times New Roman"/>
                <w:sz w:val="14"/>
                <w:szCs w:val="14"/>
                <w:b w:val="1"/>
                <w:bCs w:val="1"/>
                <w:color w:val="auto"/>
              </w:rPr>
              <w:t>Huqiu District, Suzhou</w:t>
            </w:r>
          </w:p>
        </w:tc>
        <w:tc>
          <w:tcPr>
            <w:tcW w:w="540" w:type="dxa"/>
            <w:vAlign w:val="bottom"/>
          </w:tcPr>
          <w:p>
            <w:pPr>
              <w:spacing w:after="0"/>
              <w:rPr>
                <w:sz w:val="12"/>
                <w:szCs w:val="12"/>
                <w:color w:val="auto"/>
              </w:rPr>
            </w:pPr>
          </w:p>
        </w:tc>
        <w:tc>
          <w:tcPr>
            <w:tcW w:w="3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3A Chater Road, Central</w:t>
            </w:r>
          </w:p>
        </w:tc>
        <w:tc>
          <w:tcPr>
            <w:tcW w:w="306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1 Jian Guo Men Wai Avenue Chaoyang</w:t>
            </w:r>
          </w:p>
        </w:tc>
      </w:tr>
      <w:tr>
        <w:trPr>
          <w:trHeight w:val="149"/>
        </w:trPr>
        <w:tc>
          <w:tcPr>
            <w:tcW w:w="3220" w:type="dxa"/>
            <w:vAlign w:val="bottom"/>
          </w:tcPr>
          <w:p>
            <w:pPr>
              <w:jc w:val="center"/>
              <w:ind w:right="449"/>
              <w:spacing w:after="0" w:line="149" w:lineRule="exact"/>
              <w:rPr>
                <w:sz w:val="20"/>
                <w:szCs w:val="20"/>
                <w:color w:val="auto"/>
              </w:rPr>
            </w:pPr>
            <w:r>
              <w:rPr>
                <w:rFonts w:ascii="Times New Roman" w:cs="Times New Roman" w:eastAsia="Times New Roman" w:hAnsi="Times New Roman"/>
                <w:sz w:val="14"/>
                <w:szCs w:val="14"/>
                <w:b w:val="1"/>
                <w:bCs w:val="1"/>
                <w:color w:val="auto"/>
              </w:rPr>
              <w:t>Jiangsu, 215011, People’s Republic of China</w:t>
            </w:r>
          </w:p>
        </w:tc>
        <w:tc>
          <w:tcPr>
            <w:tcW w:w="540" w:type="dxa"/>
            <w:vAlign w:val="bottom"/>
          </w:tcPr>
          <w:p>
            <w:pPr>
              <w:spacing w:after="0"/>
              <w:rPr>
                <w:sz w:val="12"/>
                <w:szCs w:val="12"/>
                <w:color w:val="auto"/>
              </w:rPr>
            </w:pPr>
          </w:p>
        </w:tc>
        <w:tc>
          <w:tcPr>
            <w:tcW w:w="3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Hong Kong</w:t>
            </w:r>
          </w:p>
        </w:tc>
        <w:tc>
          <w:tcPr>
            <w:tcW w:w="3060" w:type="dxa"/>
            <w:vAlign w:val="bottom"/>
          </w:tcPr>
          <w:p>
            <w:pPr>
              <w:jc w:val="center"/>
              <w:ind w:left="588"/>
              <w:spacing w:after="0" w:line="149" w:lineRule="exact"/>
              <w:rPr>
                <w:sz w:val="20"/>
                <w:szCs w:val="20"/>
                <w:color w:val="auto"/>
              </w:rPr>
            </w:pPr>
            <w:r>
              <w:rPr>
                <w:rFonts w:ascii="Times New Roman" w:cs="Times New Roman" w:eastAsia="Times New Roman" w:hAnsi="Times New Roman"/>
                <w:sz w:val="14"/>
                <w:szCs w:val="14"/>
                <w:b w:val="1"/>
                <w:bCs w:val="1"/>
                <w:color w:val="auto"/>
              </w:rPr>
              <w:t>District Beijing 100004</w:t>
            </w:r>
          </w:p>
        </w:tc>
      </w:tr>
      <w:tr>
        <w:trPr>
          <w:trHeight w:val="148"/>
        </w:trPr>
        <w:tc>
          <w:tcPr>
            <w:tcW w:w="3220" w:type="dxa"/>
            <w:vAlign w:val="bottom"/>
          </w:tcPr>
          <w:p>
            <w:pPr>
              <w:jc w:val="center"/>
              <w:ind w:right="449"/>
              <w:spacing w:after="0" w:line="149" w:lineRule="exact"/>
              <w:rPr>
                <w:sz w:val="20"/>
                <w:szCs w:val="20"/>
                <w:color w:val="auto"/>
              </w:rPr>
            </w:pPr>
            <w:r>
              <w:rPr>
                <w:rFonts w:ascii="Times New Roman" w:cs="Times New Roman" w:eastAsia="Times New Roman" w:hAnsi="Times New Roman"/>
                <w:sz w:val="14"/>
                <w:szCs w:val="14"/>
                <w:b w:val="1"/>
                <w:bCs w:val="1"/>
                <w:color w:val="auto"/>
              </w:rPr>
              <w:t>+86 (512) 6689 9881</w:t>
            </w:r>
          </w:p>
        </w:tc>
        <w:tc>
          <w:tcPr>
            <w:tcW w:w="2860" w:type="dxa"/>
            <w:vAlign w:val="bottom"/>
            <w:gridSpan w:val="2"/>
          </w:tcPr>
          <w:p>
            <w:pPr>
              <w:jc w:val="center"/>
              <w:ind w:left="1150"/>
              <w:spacing w:after="0" w:line="149" w:lineRule="exact"/>
              <w:rPr>
                <w:sz w:val="20"/>
                <w:szCs w:val="20"/>
                <w:color w:val="auto"/>
              </w:rPr>
            </w:pPr>
            <w:r>
              <w:rPr>
                <w:rFonts w:ascii="Times New Roman" w:cs="Times New Roman" w:eastAsia="Times New Roman" w:hAnsi="Times New Roman"/>
                <w:sz w:val="14"/>
                <w:szCs w:val="14"/>
                <w:b w:val="1"/>
                <w:bCs w:val="1"/>
                <w:color w:val="auto"/>
              </w:rPr>
              <w:t>+852 2533-3300</w:t>
            </w:r>
          </w:p>
        </w:tc>
        <w:tc>
          <w:tcPr>
            <w:tcW w:w="900" w:type="dxa"/>
            <w:vAlign w:val="bottom"/>
          </w:tcPr>
          <w:p>
            <w:pPr>
              <w:spacing w:after="0"/>
              <w:rPr>
                <w:sz w:val="12"/>
                <w:szCs w:val="12"/>
                <w:color w:val="auto"/>
              </w:rPr>
            </w:pPr>
          </w:p>
        </w:tc>
        <w:tc>
          <w:tcPr>
            <w:tcW w:w="3060" w:type="dxa"/>
            <w:vAlign w:val="bottom"/>
          </w:tcPr>
          <w:p>
            <w:pPr>
              <w:jc w:val="center"/>
              <w:ind w:left="58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China</w:t>
            </w:r>
          </w:p>
        </w:tc>
      </w:tr>
      <w:tr>
        <w:trPr>
          <w:trHeight w:val="190"/>
        </w:trPr>
        <w:tc>
          <w:tcPr>
            <w:tcW w:w="3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+86 10 8567 5000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from time to time after the effective date of this registration statement</w:t>
      </w:r>
    </w:p>
    <w:p>
      <w:pPr>
        <w:spacing w:after="0" w:line="53"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0"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3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I.C. or a post-effective amendment thereto that shall become effective upon filing with the Securities and Exchange Commission pursuant to Rule 462(e) under the Securities Act, check the following box.  </w:t>
      </w:r>
      <w:r>
        <w:rPr>
          <w:rFonts w:ascii="MS PGothic" w:cs="MS PGothic" w:eastAsia="MS PGothic" w:hAnsi="MS PGothic"/>
          <w:sz w:val="14"/>
          <w:szCs w:val="14"/>
          <w:color w:val="auto"/>
        </w:rPr>
        <w:t>☐</w:t>
      </w:r>
    </w:p>
    <w:p>
      <w:pPr>
        <w:spacing w:after="0" w:line="20" w:lineRule="exact"/>
        <w:rPr>
          <w:sz w:val="24"/>
          <w:szCs w:val="24"/>
          <w:color w:val="auto"/>
        </w:rPr>
      </w:pPr>
    </w:p>
    <w:p>
      <w:pPr>
        <w:ind w:left="120" w:right="10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51" w:lineRule="exact"/>
        <w:rPr>
          <w:sz w:val="24"/>
          <w:szCs w:val="24"/>
          <w:color w:val="auto"/>
        </w:rPr>
      </w:pPr>
    </w:p>
    <w:p>
      <w:pPr>
        <w:ind w:left="93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00" w:lineRule="exact"/>
        <w:rPr>
          <w:sz w:val="24"/>
          <w:szCs w:val="24"/>
          <w:color w:val="auto"/>
        </w:rPr>
      </w:pPr>
    </w:p>
    <w:p>
      <w:pPr>
        <w:ind w:left="120" w:right="2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8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0" w:lineRule="exact"/>
        <w:rPr>
          <w:sz w:val="24"/>
          <w:szCs w:val="24"/>
          <w:color w:val="auto"/>
        </w:rPr>
      </w:pPr>
    </w:p>
    <w:p>
      <w:pPr>
        <w:ind w:left="340" w:right="160" w:hanging="224"/>
        <w:spacing w:after="0" w:line="261"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94"/>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EB0029"/>
                <w:w w:val="99"/>
              </w:rPr>
              <w:t>registration statement</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EB0029"/>
                <w:w w:val="99"/>
              </w:rPr>
              <w:t>it seek an offer to buy</w:t>
            </w:r>
          </w:p>
        </w:tc>
      </w:tr>
      <w:tr>
        <w:trPr>
          <w:trHeight w:val="690"/>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EB0029"/>
              </w:rPr>
              <w:t>until the</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EB0029"/>
              </w:rPr>
              <w:t>nor does</w:t>
            </w:r>
          </w:p>
        </w:tc>
      </w:tr>
      <w:tr>
        <w:trPr>
          <w:trHeight w:val="885"/>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EB0029"/>
                <w:w w:val="98"/>
              </w:rPr>
              <w:t>not be sold</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EB0029"/>
                <w:w w:val="99"/>
              </w:rPr>
              <w:t>offer to sell</w:t>
            </w:r>
          </w:p>
        </w:tc>
      </w:tr>
      <w:tr>
        <w:trPr>
          <w:trHeight w:val="8145"/>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EB0029"/>
                <w:w w:val="99"/>
              </w:rPr>
              <w:t>The information in this preliminary prospectus is not complete and may be changed. These securities may</w:t>
            </w:r>
          </w:p>
        </w:tc>
        <w:tc>
          <w:tcPr>
            <w:tcW w:w="420" w:type="dxa"/>
            <w:vAlign w:val="bottom"/>
            <w:textDirection w:val="btLr"/>
          </w:tcPr>
          <w:p>
            <w:pPr>
              <w:ind w:left="248"/>
              <w:spacing w:after="0"/>
              <w:rPr>
                <w:sz w:val="20"/>
                <w:szCs w:val="20"/>
                <w:color w:val="auto"/>
              </w:rPr>
            </w:pPr>
            <w:r>
              <w:rPr>
                <w:rFonts w:ascii="Times New Roman" w:cs="Times New Roman" w:eastAsia="Times New Roman" w:hAnsi="Times New Roman"/>
                <w:sz w:val="15"/>
                <w:szCs w:val="15"/>
                <w:b w:val="1"/>
                <w:bCs w:val="1"/>
                <w:color w:val="EB0029"/>
                <w:w w:val="73"/>
              </w:rPr>
              <w:t>filed with the U.S. Securities and Exchange Commission is effective. This preliminary prospectus is not anthesesecuritiesinanyjurisdictionwheretheofferorsaleisnotpermitted.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EB0029"/>
        </w:rPr>
        <w:t>SUBJECT TO COMPLETION, DATED JUNE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YXT.COM GROUP HOLDING LIMITED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US$100,000,000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Class A Ordinary Shares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Preferred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Warrants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Subscription rights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229870</wp:posOffset>
            </wp:positionV>
            <wp:extent cx="123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400" w:firstLine="371"/>
        <w:spacing w:after="0" w:line="275" w:lineRule="auto"/>
        <w:rPr>
          <w:sz w:val="20"/>
          <w:szCs w:val="20"/>
          <w:color w:val="auto"/>
        </w:rPr>
      </w:pPr>
      <w:r>
        <w:rPr>
          <w:rFonts w:ascii="Times New Roman" w:cs="Times New Roman" w:eastAsia="Times New Roman" w:hAnsi="Times New Roman"/>
          <w:sz w:val="16"/>
          <w:szCs w:val="16"/>
          <w:color w:val="auto"/>
        </w:rPr>
        <w:t>We may from time to time in one or more offerings offer and sell our Class A ordinary shares, including Class A ordinary shares represented by American depositary shares, or ADSs, preferred shares, warrants, subscription rights and/or units. We refer to our Class A ordinary shares, preferred shares, warrants, subscription rights and units collectively as “securities” in this prospectus. This prospectus provides a general description of offerings of these securities that we may undertake.</w:t>
      </w:r>
    </w:p>
    <w:p>
      <w:pPr>
        <w:spacing w:after="0" w:line="183" w:lineRule="exact"/>
        <w:rPr>
          <w:sz w:val="20"/>
          <w:szCs w:val="20"/>
          <w:color w:val="auto"/>
        </w:rPr>
      </w:pPr>
    </w:p>
    <w:p>
      <w:pPr>
        <w:ind w:right="160" w:firstLine="371"/>
        <w:spacing w:after="0" w:line="281" w:lineRule="auto"/>
        <w:rPr>
          <w:sz w:val="20"/>
          <w:szCs w:val="20"/>
          <w:color w:val="auto"/>
        </w:rPr>
      </w:pPr>
      <w:r>
        <w:rPr>
          <w:rFonts w:ascii="Times New Roman" w:cs="Times New Roman" w:eastAsia="Times New Roman" w:hAnsi="Times New Roman"/>
          <w:sz w:val="16"/>
          <w:szCs w:val="16"/>
          <w:color w:val="auto"/>
        </w:rPr>
        <w:t>In addition, from time to time, the selling shareholders (if any) named in a prospectus supplement may offer and sell the securities held by them. The selling shareholders (if any) may sell the securities through public or private transactions at prevailing market prices or at privately negotiated prices. We will not receive any proceeds from the sale of securities by selling shareholders.</w:t>
      </w:r>
    </w:p>
    <w:p>
      <w:pPr>
        <w:spacing w:after="0" w:line="177" w:lineRule="exact"/>
        <w:rPr>
          <w:sz w:val="20"/>
          <w:szCs w:val="20"/>
          <w:color w:val="auto"/>
        </w:rPr>
      </w:pPr>
    </w:p>
    <w:p>
      <w:pPr>
        <w:ind w:right="20" w:firstLine="371"/>
        <w:spacing w:after="0" w:line="275" w:lineRule="auto"/>
        <w:rPr>
          <w:sz w:val="20"/>
          <w:szCs w:val="20"/>
          <w:color w:val="auto"/>
        </w:rPr>
      </w:pPr>
      <w:r>
        <w:rPr>
          <w:rFonts w:ascii="Times New Roman" w:cs="Times New Roman" w:eastAsia="Times New Roman" w:hAnsi="Times New Roman"/>
          <w:sz w:val="16"/>
          <w:szCs w:val="16"/>
          <w:color w:val="auto"/>
        </w:rPr>
        <w:t>We will provide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83" w:lineRule="exact"/>
        <w:rPr>
          <w:sz w:val="20"/>
          <w:szCs w:val="20"/>
          <w:color w:val="auto"/>
        </w:rPr>
      </w:pPr>
    </w:p>
    <w:p>
      <w:pPr>
        <w:ind w:right="80" w:firstLine="371"/>
        <w:spacing w:after="0" w:line="275" w:lineRule="auto"/>
        <w:rPr>
          <w:sz w:val="20"/>
          <w:szCs w:val="20"/>
          <w:color w:val="auto"/>
        </w:rPr>
      </w:pPr>
      <w:r>
        <w:rPr>
          <w:rFonts w:ascii="Times New Roman" w:cs="Times New Roman" w:eastAsia="Times New Roman" w:hAnsi="Times New Roman"/>
          <w:sz w:val="16"/>
          <w:szCs w:val="16"/>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of this prospectus.</w:t>
      </w:r>
    </w:p>
    <w:p>
      <w:pPr>
        <w:spacing w:after="0" w:line="183" w:lineRule="exact"/>
        <w:rPr>
          <w:sz w:val="20"/>
          <w:szCs w:val="20"/>
          <w:color w:val="auto"/>
        </w:rPr>
      </w:pPr>
    </w:p>
    <w:p>
      <w:pPr>
        <w:ind w:firstLine="371"/>
        <w:spacing w:after="0" w:line="275" w:lineRule="auto"/>
        <w:rPr>
          <w:sz w:val="20"/>
          <w:szCs w:val="20"/>
          <w:color w:val="auto"/>
        </w:rPr>
      </w:pPr>
      <w:r>
        <w:rPr>
          <w:rFonts w:ascii="Times New Roman" w:cs="Times New Roman" w:eastAsia="Times New Roman" w:hAnsi="Times New Roman"/>
          <w:sz w:val="16"/>
          <w:szCs w:val="16"/>
          <w:color w:val="auto"/>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is below US$75,000,000. During the 12 calendar months prior to and including the date of this prospectus, we have not offered or sold any securities pursuant to General Instruction I.B.5 of Form F-3.</w:t>
      </w:r>
    </w:p>
    <w:p>
      <w:pPr>
        <w:spacing w:after="0" w:line="183" w:lineRule="exact"/>
        <w:rPr>
          <w:sz w:val="20"/>
          <w:szCs w:val="20"/>
          <w:color w:val="auto"/>
        </w:rPr>
      </w:pPr>
    </w:p>
    <w:p>
      <w:pPr>
        <w:ind w:right="140" w:firstLine="371"/>
        <w:spacing w:after="0" w:line="298" w:lineRule="auto"/>
        <w:rPr>
          <w:sz w:val="20"/>
          <w:szCs w:val="20"/>
          <w:color w:val="auto"/>
        </w:rPr>
      </w:pPr>
      <w:r>
        <w:rPr>
          <w:rFonts w:ascii="Times New Roman" w:cs="Times New Roman" w:eastAsia="Times New Roman" w:hAnsi="Times New Roman"/>
          <w:sz w:val="16"/>
          <w:szCs w:val="16"/>
          <w:color w:val="auto"/>
        </w:rPr>
        <w:t>The ADSs are listed on the Nasdaq Global Market under the symbol “YXT.” On June 26, 2026, the last reported sale price of the ADSs on the Nasdaq Global Market was US$0.37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198755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firstLine="371"/>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You should carefully consider the risks described under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starting on page 4 of this prospectus, included in any prospectus supplement or in the documents incorporated by reference into this prospectus before you invest in our securities.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prospectus may not be used to offer or sell any securities unless accompanied by a prospectus supplement.</w:t>
      </w:r>
    </w:p>
    <w:p>
      <w:pPr>
        <w:spacing w:after="0" w:line="233" w:lineRule="exact"/>
        <w:rPr>
          <w:sz w:val="20"/>
          <w:szCs w:val="20"/>
          <w:color w:val="auto"/>
        </w:rPr>
      </w:pPr>
    </w:p>
    <w:p>
      <w:pPr>
        <w:ind w:right="400" w:firstLine="371"/>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205740</wp:posOffset>
            </wp:positionV>
            <wp:extent cx="123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 w:space="260"/>
            <w:col w:w="9280"/>
          </w:cols>
          <w:pgMar w:left="320" w:top="455" w:right="1319" w:bottom="1440" w:gutter="0" w:footer="0" w:header="0"/>
          <w:type w:val="continuous"/>
        </w:sectPr>
      </w:pPr>
    </w:p>
    <w:p>
      <w:pPr>
        <w:spacing w:after="0" w:line="33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The date of this prospectus is                , 2026</w:t>
      </w:r>
    </w:p>
    <w:p>
      <w:pPr>
        <w:sectPr>
          <w:pgSz w:w="11900" w:h="16838" w:orient="portrait"/>
          <w:cols w:equalWidth="0" w:num="1">
            <w:col w:w="10260"/>
          </w:cols>
          <w:pgMar w:left="320" w:top="455" w:right="1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26"/>
        </w:trPr>
        <w:tc>
          <w:tcPr>
            <w:tcW w:w="66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60" w:type="dxa"/>
            <w:vAlign w:val="bottom"/>
            <w:gridSpan w:val="20"/>
            <w:vMerge w:val="continue"/>
          </w:tcPr>
          <w:p>
            <w:pPr>
              <w:spacing w:after="0"/>
              <w:rPr>
                <w:sz w:val="13"/>
                <w:szCs w:val="13"/>
                <w:color w:val="auto"/>
              </w:rPr>
            </w:pPr>
          </w:p>
        </w:tc>
        <w:tc>
          <w:tcPr>
            <w:tcW w:w="40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CORPORATE INFORMATION</w:t>
            </w:r>
          </w:p>
        </w:tc>
        <w:tc>
          <w:tcPr>
            <w:tcW w:w="580" w:type="dxa"/>
            <w:vAlign w:val="bottom"/>
            <w:tcBorders>
              <w:top w:val="single" w:sz="8" w:color="0000EE"/>
            </w:tcBorders>
            <w:gridSpan w:val="3"/>
          </w:tcPr>
          <w:p>
            <w:pPr>
              <w:spacing w:after="0"/>
              <w:rPr>
                <w:sz w:val="17"/>
                <w:szCs w:val="17"/>
                <w:color w:val="auto"/>
              </w:rPr>
            </w:pPr>
          </w:p>
        </w:tc>
        <w:tc>
          <w:tcPr>
            <w:tcW w:w="3740" w:type="dxa"/>
            <w:vAlign w:val="bottom"/>
            <w:gridSpan w:val="8"/>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5080" w:type="dxa"/>
            <w:vAlign w:val="bottom"/>
            <w:gridSpan w:val="15"/>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2340" w:type="dxa"/>
            <w:vAlign w:val="bottom"/>
            <w:gridSpan w:val="3"/>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760" w:type="dxa"/>
            <w:vAlign w:val="bottom"/>
            <w:tcBorders>
              <w:top w:val="single" w:sz="8" w:color="0000EE"/>
            </w:tcBorders>
            <w:gridSpan w:val="3"/>
          </w:tcPr>
          <w:p>
            <w:pPr>
              <w:spacing w:after="0"/>
              <w:rPr>
                <w:sz w:val="17"/>
                <w:szCs w:val="17"/>
                <w:color w:val="auto"/>
              </w:rPr>
            </w:pPr>
          </w:p>
        </w:tc>
        <w:tc>
          <w:tcPr>
            <w:tcW w:w="3420" w:type="dxa"/>
            <w:vAlign w:val="bottom"/>
            <w:gridSpan w:val="7"/>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6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440" w:type="dxa"/>
            <w:vAlign w:val="bottom"/>
            <w:tcBorders>
              <w:top w:val="single" w:sz="8" w:color="0000EE"/>
            </w:tcBorders>
            <w:gridSpan w:val="9"/>
          </w:tcPr>
          <w:p>
            <w:pPr>
              <w:spacing w:after="0"/>
              <w:rPr>
                <w:sz w:val="17"/>
                <w:szCs w:val="17"/>
                <w:color w:val="auto"/>
              </w:rPr>
            </w:pPr>
          </w:p>
        </w:tc>
        <w:tc>
          <w:tcPr>
            <w:tcW w:w="3200" w:type="dxa"/>
            <w:vAlign w:val="bottom"/>
            <w:gridSpan w:val="5"/>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6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2500" w:type="dxa"/>
            <w:vAlign w:val="bottom"/>
            <w:tcBorders>
              <w:top w:val="single" w:sz="8" w:color="0000EE"/>
            </w:tcBorders>
            <w:gridSpan w:val="12"/>
          </w:tcPr>
          <w:p>
            <w:pPr>
              <w:spacing w:after="0"/>
              <w:rPr>
                <w:sz w:val="17"/>
                <w:szCs w:val="17"/>
                <w:color w:val="auto"/>
              </w:rPr>
            </w:pPr>
          </w:p>
        </w:tc>
        <w:tc>
          <w:tcPr>
            <w:tcW w:w="3260" w:type="dxa"/>
            <w:vAlign w:val="bottom"/>
            <w:gridSpan w:val="6"/>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6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SHAREHOLDERS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440" w:type="dxa"/>
            <w:vAlign w:val="bottom"/>
            <w:gridSpan w:val="12"/>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4620" w:type="dxa"/>
            <w:vAlign w:val="bottom"/>
            <w:gridSpan w:val="13"/>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6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500" w:type="dxa"/>
            <w:vAlign w:val="bottom"/>
            <w:gridSpan w:val="1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42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480" w:type="dxa"/>
            <w:vAlign w:val="bottom"/>
            <w:tcBorders>
              <w:top w:val="single" w:sz="8" w:color="0000EE"/>
            </w:tcBorders>
            <w:gridSpan w:val="3"/>
          </w:tcPr>
          <w:p>
            <w:pPr>
              <w:spacing w:after="0"/>
              <w:rPr>
                <w:sz w:val="17"/>
                <w:szCs w:val="17"/>
                <w:color w:val="auto"/>
              </w:rPr>
            </w:pPr>
          </w:p>
        </w:tc>
        <w:tc>
          <w:tcPr>
            <w:tcW w:w="1920" w:type="dxa"/>
            <w:vAlign w:val="bottom"/>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filed with the Securities and Exchange Commission, or the SEC. By using a shelf registration statement, we or any selling shareholder may, at any time and from time to time, offer and sell up to an aggregate of US$100,000,000 of the securities described in this prospectus in one or more offerings. We may also add, update or change information contained in this prospectus by means of a prospectus supplement or by incorporating by reference information that we file with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three Class A ordinary shares;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including Hong Kong, Macau and Taiwan, and only when referring to specific laws and regulations adopted by the People’s Republic of China in this prospectus, excludes Hong Kong, Macau and Taiwan, where the legal and operational risks associated with operating in China or PRC also apply to operation in Hong Kong, Macau and Taiwan, as applicable;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refers to the Nasdaq Global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 or “shares” refers to our ordinary shares, par value US$0.0001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forward-looking statements that reflect our current or then-current expectations and views of future events. Many of the forward-looking statements contained in this prospectus can be identified by the use of forward-looking words such as “anticipate,” “believe,” “could,” “expect,” “should,” “plan,” “intend,” “estimate” and “potential,” among others.</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Forward-looking statements that appear in in this prospectus, any accompanying prospectus supplement and the documents incorporated by reference may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93"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demographic and business conditions in China and globally;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operating initiatives, including advertising and promotional efforts and new solution development by us and our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apply our technologies to support and expand our solution offerings;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digital corporate learning industry in China;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digital corporate learning industry in China;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and regulation;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regard these statements as representations or warranties by us or any other person that we will achieve our objectives and plans in any specified time frame, or at all.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any accompanying prospectus supplement and the documents incorporated by reference, completely and with the understanding that our actual future results may be materially different from what we expect. We qualify all of our forward-looking statements by these cautionary statements.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Room 501-502, No. 78 East Jinshan Road Huqiu District, Suzhou Jiangsu, 215011, People’s Republic of China. Our telephone number at this address is +86 (512) 6689 9881. Our registered office in the Cayman Islands is located at Walkers Corporate Limited, 190 Elgin Avenue, George Town, Grand Cayman KY1-9008, Cayman Islands. Our agent for service of process in the United States is Cogency Global Inc. located at 122 East 42nd Street, 18th Floor, New York, NY 10168.</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proxy and information statements, and other information regarding registrants that make electronic filings with the SEC using its EDGAR system. Investors should contact us for any inquiries through the address and telephone number of our principal executive office. Our principal website is www.yxt.com. The information contained on our website is not a part of this prospectus.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Please see the factors set forth under “Item 3. Key Information—Item 3.D. Risk Factors” in our annual report on Form 20-F for the year ended December 31, 2025, which is incorporated by reference in this prospectus, as updated by our subsequent filings under the Exchange Act, and in any accompanying prospectus supplement before investing in any securities that may be offered pursuant to this prospectus.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risks and uncertainties described in this prospectus, any applicable prospectus supplement or other offering materials as well as the documents incorporated by reference herein are not the only ones we face. Additional risks and uncertainties that we do not presently know about or that we currently believe are not material may also adversely affect our business. If any of the risks and uncertainties described in this prospectus, any applicable prospectus supplement or other offering materials as well as the documents incorporated by reference herein actually occur, our business, financial condition and results of operations could be adversely affected in a material way. The occurrence of any of these risks may cause you to lose all or part of your investment in the offered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we offer as set forth in the applicable prospectus supplement(s).</w:t>
      </w:r>
    </w:p>
    <w:p>
      <w:pPr>
        <w:spacing w:after="0" w:line="225"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The specific allocations of the proceeds we receive from the sale of our securities will be described in the applicable prospectus supplement(s). 5</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and our affairs are governed by our memorandum and articles of association, as amended and restated from time to time, Companies Act (as amended) of the Cayman Islands, which we refer to as the “Companies Act” below, and the common law of the Cayman Islands.</w:t>
      </w:r>
    </w:p>
    <w:p>
      <w:pPr>
        <w:spacing w:after="0" w:line="176"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As of the date of this prospectus, our authorized share capital is US$50,000 divided into (a) 483,068,176 Class A ordinary shares with a par value of US$0.0001 each, and (b) 16,931,824 Class B ordinary shares with a par value of US$0.0001 each. All incentive share awards, including options, regardless of grant dates, will entitle holders to an equivalent number of ordinary shares once the applicable vesting and exercising conditions are met.</w:t>
      </w:r>
    </w:p>
    <w:p>
      <w:pPr>
        <w:spacing w:after="0" w:line="158"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eighth amended and restated memorandum and articles of association and the Companies Act insofar as they relate to the material terms of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Our authorized share capital is US$50,000 divided into (a) 483,068,176 Class A ordinary shares with a par value of US$0.0001 each, and</w:t>
      </w:r>
    </w:p>
    <w:p>
      <w:pPr>
        <w:spacing w:after="0" w:line="41" w:lineRule="exact"/>
        <w:rPr>
          <w:sz w:val="20"/>
          <w:szCs w:val="20"/>
          <w:color w:val="auto"/>
        </w:rPr>
      </w:pPr>
    </w:p>
    <w:p>
      <w:pPr>
        <w:ind w:left="120" w:right="120" w:hanging="4"/>
        <w:spacing w:after="0" w:line="253" w:lineRule="auto"/>
        <w:tabs>
          <w:tab w:leader="none" w:pos="3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16,931,824 Class B ordinary shares with a par value of US$0.0001 each. Holders of ordinary shares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subject to our eighth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memorandum and articles of association and the Companies Act. In addition, our shareholders may by ordinary resolution declare a dividend, but no dividend may exceed the amount recommended by our directors. Our eighth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8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Classes of Ordinary Shares. </w:t>
      </w:r>
      <w:r>
        <w:rPr>
          <w:rFonts w:ascii="Times New Roman" w:cs="Times New Roman" w:eastAsia="Times New Roman" w:hAnsi="Times New Roman"/>
          <w:sz w:val="18"/>
          <w:szCs w:val="18"/>
          <w:color w:val="auto"/>
        </w:rPr>
        <w:t>Our ordinary shares are divided into Class A ordinary shares and Class B ordinary shares. Except for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rights and voting rights, the Class A ordinary shares and Class B ordinary shares shall carry equal rights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including but not limited to the rights to dividends and other capital distributions.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A Class B ordinary share is convertible into one Class A ordinary share at any time by the holder thereof, while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w:t>
      </w:r>
    </w:p>
    <w:p>
      <w:pPr>
        <w:spacing w:after="0" w:line="183"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holders of Class A ordinary shares and Class B ordinary shares shall,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vote together as one class on all matters submitted to a vote by the members at any such general meeting. Each Class A ordinary share shall be entitled to one vote, and each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Class B ordinary share shall be entitled to twenty votes, on all matters subject to the vote at general meetings of our company. Voting at any meeting of shareholders is by show of hands unless a poll is demanded. A poll may be demanded by the chairman of such meeting or any one shareholder.</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or more shareholders holding not less than one-half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eighth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corporate governance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eighth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9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reducing share capital and any capital redemption reserve or making changes to our eighth amended and restated memorandum and articles of association. </w:t>
      </w: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xml:space="preserve"> Subject to the restrictions in our eighth amended and restated memorandum and articles of association as set out below, any of our shareholders may transfer all or any of his or her ordinary shares by an instrument of transfer in the usual or common form or any other form approved by our board of directors.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1080" w:right="5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our company;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registration of transfers shall not be suspended nor the register closed for more than 30 days in any year as our board may determine.</w:t>
      </w:r>
    </w:p>
    <w:p>
      <w:pPr>
        <w:spacing w:after="0" w:line="17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 or purchase of ordinary shares), if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83"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ordinary shares in a notice served to such shareholders at least 14 clear days prior to the specified time of payment. The ordinary shares that have been called upon and remain unpaid are subject to forfeiture.</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eighth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 to any class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shares (unless otherwise provided by the terms of issue of the shares of that class or series), whether or not our company is being wound- 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82"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 obtain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list of shareholders or our corporate records. However, we will provide our shareholders with annual audited financial statements.</w:t>
      </w:r>
    </w:p>
    <w:p>
      <w:pPr>
        <w:spacing w:after="0" w:line="15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eighth amended and restated memorandum of association authorizes our board of directors to issue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from time to time as our board of directors shall determine, to the extent of available authorized but unissued shares.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eighth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eighth amended and restated memorandum and articles of association may discourage, delay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31" w:lineRule="exact"/>
        <w:rPr>
          <w:sz w:val="20"/>
          <w:szCs w:val="20"/>
          <w:color w:val="auto"/>
        </w:rPr>
      </w:pPr>
    </w:p>
    <w:p>
      <w:pPr>
        <w:ind w:left="1080" w:right="4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a statement of the shares held by each member, and of the amount paid or agreed to be considered as paid, on the shares of each member, confirm the number and category of shares held by each member, and confirm whether each relevant category of shares held by a member carries voting rights under the articles of association of the company, and if so, whether such voting rights are conditional;</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78"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non-Cayman Islands companies. For</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in the case of creditors or a class of creditors, the arrangement is approved by a majority in number of each class of creditors with whom the arrangement is to be made, and who must in addition represent three-fourths in value of each such class of creditors that are present and voting either in person or by proxy at a meeting, or meetings, convened for the purpose. In the case of shareholders or a class of shareholders, the arrangement must be approved by three-fourths in value of the shareholders or class of shareholders, as the case may be, present and voting either in person or by proxy at the meeting.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dissenting minority shareholder upon a tender offer. When a tender offer is made and accepted by holders of 90.0% of the shares affected,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which permit a minority shareholder to commence a class action against or derivative actions in the name of the company to challenge actions where:</w:t>
      </w:r>
    </w:p>
    <w:p>
      <w:pPr>
        <w:spacing w:after="0" w:line="9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eighth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eighth amended and restated memorandum and articles of association.</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 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The Companies Act and our eighth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provide shareholders with only limited rights to requisition a general meeting, and does not provide shareholders with any right to put any proposal before a general meeting. However, these rights may be provided in a company’s articles of association. Our eighth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eighth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eighth amended and restated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articles of association do not provide for cumulative voting. As a result, our shareholders are not afforded any less protections or rights on this issue than shareholders of a Delaware corporation.</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our eighth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dies or is found to be or becomes of unsound mind; (iii) resigns his office by notice in writing to our company; (iv) is prohibited by any applicable law or designated stock exchange rules from being a director; (v) without special leave of absence from the board, is absent from meetings of the board for three consecutive meetings and the board resolves that his office be vacated; or (vi) is removed from office pursuant to any other provision of our eighth amended and restated articles of association.</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8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eighth amended and restated articles of association, our company may be dissolved, liquidated or wound up by a special resolution of our shareholders.</w:t>
      </w:r>
    </w:p>
    <w:p>
      <w:pPr>
        <w:spacing w:after="0" w:line="181"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certificate of incorporation provides otherwise. Under Cayman Islands law and our eighth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7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eighth amended and restated memorandum and articles of association, our memorandum and articles of association may only be amended by a special resolution of our shareholders.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eighth amended and restated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on the rights of nonresident or foreign shareholders to hold or exercise voting rights on our shares. In addition, there are no provisions in our eighth amended and restated memorandum and articles of association governing the ownership threshold above which shareholder ownership must be disclosed.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August 2024, we completed an initial public offering in which we offered and sold an aggregate of 6,819,000 Class A ordinary shares in the form of ADSs. On August 16, 2024, the ADSs commenced trading on Nasdaq under the symbol “YXT.”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Award Grants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granted awards to certain of our executive officers and employees. See “Item 6. Directors, Senior Management and Employees—6.B. Compensation—Share Incentive Plan” in our annual report on Form 20-F for the year ended December 31, 2025, which is incorporated by reference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current shareholders agreement, we have granted certain registration rights to our shareholders, provided that no shareholder shall be entitled to exercise any such registration right after the earlier of (i) three years following the consummation of a qualified IPO; or (ii) with respect to any holder, the date on which such holder may sell all of such holder’s registrable securities under Rule 144 of the Securities Act in any ninety-day period. Set forth below is a description of the registration rights granted under the current shareholders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At any time commencing six months after the closing of this offering, holders of at least 10% of the registrable securities then outstanding have the right to demand that we file a registration statement covering the registration of such registrable securities. We are not obligated to effect any such registration if we have, within the six-month period preceding the date of such request, already effected a registration under the Securities Act pursuant to demand registration right or Form F-3 registration right or piggyback registration right in which the holders had an opportunity to participate, other than a registration from which the registrable securities of the holders have been excluded (with respect to all or any portion of the registrable securities the holders requested be included in such registration). Further, we are not obligated to effect more than three such demand registrations that have been declared and ordered effective, except that (i) if the sale of all of the registrable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securities sought to be included is not consummated for any reason other than due to the action or inaction of the holders including registrable securities in such registration, such registration shall not be deemed to constitute one of the registration rights; and (ii) the piggyback registrations and Form F-3 registrations described below shall not be deemed to constitute one of the demand registrations.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an underwritten offering therein, we are not required to register the registrable securities of a holder unless such holder’s registrable securities are included in the underwriting and such holder enters into an underwriting agreement in customary form with the managing underwriter(s) selected by the holders of a majority of the registrable securities being registered and reasonably acceptable to us. The underwriters of any underwritten offering may exclude up to 75% of the number of registrable securities from being included in the applicable registration statement if the managing underwriter(s) determine(s) in good faith that marketing factors require a limitation of the number of shares to be underwritten, provided that all other securities are first entirely excluded from the underwriting and registration. The number of registrable securities that may be included in the underwriting shall be reduced as required by the underwriter(s) and allocated among the holders of registrable securities on a pro rata basis according to the number of registrable securities then outstanding held by each holder requesting registration.</w:t>
      </w:r>
    </w:p>
    <w:p>
      <w:pPr>
        <w:spacing w:after="0" w:line="19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the right to defer filing of a registration statement for up to 90 days if our board determines in good faith judgment that the filing of a registration statement would be materially detrimental to us and our shareholders, provided that within any 12-month period, we do not exercise this right and during such 90 days, we do not file any registration statement pertaining to the public offering of our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we propose to file a registration statement for a public offering of our securities (including, but not limited to, registration statements relating to secondary offerings of our securities, but excluding registration statements relating to any employee benefit plan or a corporate reorganization), we must offer holders of our registrable securities an opportunity to include all or any part of their securities in this registration.</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event of an underwritten offering therein, we are not required to register the registrable securities of a holder, unless such holder’s registrable securities are included in the underwriting and such holder enters into an underwriting agreement in customary form with the managing underwriter(s) selected for such underwriting. The underwriters of any underwritten offering may exclude up to 75% of the number of registrable securities from being included in the applicable registration statement if the managing underwriter(s) determine(s) in good faith that marketing factors require a limitation of the number of shares to be underwritten. The number of shares that may be included in the registration and the underwriting shall be allocated, first, to us, second, to each of the holders requesting inclusion of their registrable securities in such registration statement on a pro rata basis based on the total number of shares of registrable securities then held by each such holder, and third, to holders of other securities of ours.</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shall be no limit on the number of times the holders may request registration of registrable securities pursuant to such piggyback registration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F-3 Registration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case we receive from any holders of registrable securities then outstanding written requests that we effect a registration on Form F-3, as the case may be, we shall, subject to certain limitations, file a registration statement on Form F-3 covering the registrable securities and other securities so requested to be registered as soon as practicable after receipt of the request or requests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bear all registration expenses incurred in connection with any demand, piggyback or F-3 registration, subject to certain limitations.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registers and delivers American Depositary Shares, also referred to as ADSs. Each ADS represents three shares (or a right to receive three shares) deposited with The Hongkong and Shanghai Banking Corporation, as custodian for the depositary in Hong Kong.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 About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7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convert any cash dividend or other cash distribution we pay on the shares into U.S. dollars, if it can do so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5"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The depositary may distribute additional ADSs representing any shares we distribute as a dividend or free distribution. The depositary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Rights to purchase additional shares. </w:t>
      </w:r>
      <w:r>
        <w:rPr>
          <w:rFonts w:ascii="Times New Roman" w:cs="Times New Roman" w:eastAsia="Times New Roman" w:hAnsi="Times New Roman"/>
          <w:sz w:val="18"/>
          <w:szCs w:val="18"/>
          <w:color w:val="auto"/>
        </w:rPr>
        <w:t>If we offer holders of our securities any rights to subscribe for additional shares or any other rights,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The depositary will send to ADS holders anything else we distribute on deposited securities by any means it thinks is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8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87" w:lineRule="exact"/>
        <w:rPr>
          <w:sz w:val="20"/>
          <w:szCs w:val="20"/>
          <w:color w:val="auto"/>
        </w:rPr>
      </w:pPr>
    </w:p>
    <w:p>
      <w:pPr>
        <w:ind w:left="120"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Except by instructing the depositary as described above, you will not be able to exercise voting rights unless you surrender your ADSs and withdraw the shares. However, you may not know about the meeting enough in advance to withdraw the shares. </w:t>
      </w:r>
      <w:r>
        <w:rPr>
          <w:rFonts w:ascii="Times New Roman" w:cs="Times New Roman" w:eastAsia="Times New Roman" w:hAnsi="Times New Roman"/>
          <w:sz w:val="18"/>
          <w:szCs w:val="18"/>
          <w:color w:val="auto"/>
        </w:rPr>
        <w:t>In any event, the depositary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any discretion in voting deposited securities and it will only vote or attempt to vote as instructed.</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w:t>
      </w:r>
      <w:r>
        <w:rPr>
          <w:rFonts w:ascii="Times New Roman" w:cs="Times New Roman" w:eastAsia="Times New Roman" w:hAnsi="Times New Roman"/>
          <w:sz w:val="18"/>
          <w:szCs w:val="18"/>
          <w:i w:val="1"/>
          <w:iCs w:val="1"/>
          <w:color w:val="auto"/>
        </w:rPr>
        <w:t>This means that you may not be able to exercise voting rights and there may be nothing you can do if the shares represented by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ADSs are not voted as you requested.</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35"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94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i w:val="1"/>
                <w:iCs w:val="1"/>
                <w:color w:val="auto"/>
              </w:rPr>
              <w:t>Persons depositing or withdrawing shares or ADS</w:t>
            </w:r>
          </w:p>
        </w:tc>
        <w:tc>
          <w:tcPr>
            <w:tcW w:w="228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i w:val="1"/>
                <w:iCs w:val="1"/>
                <w:color w:val="auto"/>
                <w:w w:val="90"/>
              </w:rPr>
              <w:t>For:</w:t>
            </w:r>
          </w:p>
        </w:tc>
        <w:tc>
          <w:tcPr>
            <w:tcW w:w="0" w:type="dxa"/>
            <w:vAlign w:val="bottom"/>
          </w:tcPr>
          <w:p>
            <w:pPr>
              <w:spacing w:after="0"/>
              <w:rPr>
                <w:sz w:val="1"/>
                <w:szCs w:val="1"/>
                <w:color w:val="auto"/>
              </w:rPr>
            </w:pPr>
          </w:p>
        </w:tc>
      </w:tr>
      <w:tr>
        <w:trPr>
          <w:trHeight w:val="192"/>
        </w:trPr>
        <w:tc>
          <w:tcPr>
            <w:tcW w:w="494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i w:val="1"/>
                <w:iCs w:val="1"/>
                <w:color w:val="auto"/>
              </w:rPr>
              <w:t>holders must pay:</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86" w:lineRule="exact"/>
        <w:rPr>
          <w:sz w:val="20"/>
          <w:szCs w:val="20"/>
          <w:color w:val="auto"/>
        </w:rPr>
      </w:pPr>
    </w:p>
    <w:p>
      <w:pPr>
        <w:ind w:left="480" w:hanging="27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US$5.00 (or less) per 100 ADSs (or portion of 100 ADSs)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89" w:right="820" w:hanging="289"/>
        <w:spacing w:after="0" w:line="282" w:lineRule="auto"/>
        <w:tabs>
          <w:tab w:leader="none" w:pos="2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spacing w:after="0" w:line="54" w:lineRule="exact"/>
        <w:rPr>
          <w:sz w:val="20"/>
          <w:szCs w:val="20"/>
          <w:color w:val="auto"/>
        </w:rPr>
      </w:pPr>
    </w:p>
    <w:p>
      <w:pPr>
        <w:sectPr>
          <w:pgSz w:w="11900" w:h="16838" w:orient="portrait"/>
          <w:cols w:equalWidth="0" w:num="2">
            <w:col w:w="5331" w:space="720"/>
            <w:col w:w="5069"/>
          </w:cols>
          <w:pgMar w:left="320" w:top="455" w:right="459" w:bottom="1440" w:gutter="0" w:footer="0" w:header="0"/>
          <w:type w:val="continuous"/>
        </w:sectPr>
      </w:pPr>
    </w:p>
    <w:p>
      <w:pPr>
        <w:jc w:val="both"/>
        <w:ind w:left="6060"/>
        <w:spacing w:after="0"/>
        <w:tabs>
          <w:tab w:leader="none" w:pos="6320" w:val="left"/>
        </w:tabs>
        <w:rPr>
          <w:sz w:val="20"/>
          <w:szCs w:val="20"/>
          <w:color w:val="auto"/>
        </w:rPr>
      </w:pPr>
      <w:r>
        <w:rPr>
          <w:rFonts w:ascii="Times New Roman" w:cs="Times New Roman" w:eastAsia="Times New Roman" w:hAnsi="Times New Roman"/>
          <w:sz w:val="18"/>
          <w:szCs w:val="18"/>
          <w:color w:val="auto"/>
        </w:rPr>
        <w:t>•</w:t>
        <w:tab/>
        <w:t>Cancellation of ADSs for the purpose of withdrawal, including if</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the deposit agreement terminates</w:t>
      </w:r>
    </w:p>
    <w:p>
      <w:pPr>
        <w:spacing w:after="0" w:line="99" w:lineRule="exact"/>
        <w:rPr>
          <w:sz w:val="20"/>
          <w:szCs w:val="20"/>
          <w:color w:val="auto"/>
        </w:rPr>
      </w:pPr>
    </w:p>
    <w:p>
      <w:pPr>
        <w:ind w:left="200"/>
        <w:spacing w:after="0"/>
        <w:tabs>
          <w:tab w:leader="none" w:pos="460" w:val="left"/>
          <w:tab w:leader="none" w:pos="6040" w:val="left"/>
          <w:tab w:leader="none" w:pos="6320" w:val="left"/>
        </w:tabs>
        <w:rPr>
          <w:sz w:val="20"/>
          <w:szCs w:val="20"/>
          <w:color w:val="auto"/>
        </w:rPr>
      </w:pPr>
      <w:r>
        <w:rPr>
          <w:rFonts w:ascii="Times New Roman" w:cs="Times New Roman" w:eastAsia="Times New Roman" w:hAnsi="Times New Roman"/>
          <w:sz w:val="18"/>
          <w:szCs w:val="18"/>
          <w:color w:val="auto"/>
        </w:rPr>
        <w:t>•</w:t>
        <w:tab/>
        <w:t>US$0.05 (or less) per ADS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Any cash distribution to ADS holders</w:t>
      </w:r>
    </w:p>
    <w:p>
      <w:pPr>
        <w:spacing w:after="0" w:line="117" w:lineRule="exact"/>
        <w:rPr>
          <w:sz w:val="20"/>
          <w:szCs w:val="20"/>
          <w:color w:val="auto"/>
        </w:rPr>
      </w:pPr>
    </w:p>
    <w:p>
      <w:pPr>
        <w:ind w:left="200"/>
        <w:spacing w:after="0"/>
        <w:tabs>
          <w:tab w:leader="none" w:pos="460" w:val="left"/>
          <w:tab w:leader="none" w:pos="6040" w:val="left"/>
          <w:tab w:leader="none" w:pos="6320" w:val="left"/>
        </w:tabs>
        <w:rPr>
          <w:sz w:val="20"/>
          <w:szCs w:val="20"/>
          <w:color w:val="auto"/>
        </w:rPr>
      </w:pPr>
      <w:r>
        <w:rPr>
          <w:rFonts w:ascii="Times New Roman" w:cs="Times New Roman" w:eastAsia="Times New Roman" w:hAnsi="Times New Roman"/>
          <w:sz w:val="18"/>
          <w:szCs w:val="18"/>
          <w:color w:val="auto"/>
        </w:rPr>
        <w:t>•</w:t>
        <w:tab/>
        <w:t>A fee equivalent to the fee that would be payable if securities distributed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Distribution of securities distributed to holders of deposited</w:t>
      </w:r>
    </w:p>
    <w:p>
      <w:pPr>
        <w:spacing w:after="0" w:line="27" w:lineRule="exact"/>
        <w:rPr>
          <w:sz w:val="20"/>
          <w:szCs w:val="20"/>
          <w:color w:val="auto"/>
        </w:rPr>
      </w:pPr>
    </w:p>
    <w:p>
      <w:pPr>
        <w:ind w:left="480"/>
        <w:spacing w:after="0"/>
        <w:tabs>
          <w:tab w:leader="none" w:pos="6320" w:val="left"/>
        </w:tabs>
        <w:rPr>
          <w:sz w:val="20"/>
          <w:szCs w:val="20"/>
          <w:color w:val="auto"/>
        </w:rPr>
      </w:pPr>
      <w:r>
        <w:rPr>
          <w:rFonts w:ascii="Times New Roman" w:cs="Times New Roman" w:eastAsia="Times New Roman" w:hAnsi="Times New Roman"/>
          <w:sz w:val="18"/>
          <w:szCs w:val="18"/>
          <w:color w:val="auto"/>
        </w:rPr>
        <w:t>to you had been shares and the shares had been deposited for issuance of</w:t>
      </w:r>
      <w:r>
        <w:rPr>
          <w:sz w:val="20"/>
          <w:szCs w:val="20"/>
          <w:color w:val="auto"/>
        </w:rPr>
        <w:tab/>
      </w:r>
      <w:r>
        <w:rPr>
          <w:rFonts w:ascii="Times New Roman" w:cs="Times New Roman" w:eastAsia="Times New Roman" w:hAnsi="Times New Roman"/>
          <w:sz w:val="17"/>
          <w:szCs w:val="17"/>
          <w:color w:val="auto"/>
        </w:rPr>
        <w:t>securities (including rights) that are distributed by the depositary</w:t>
      </w:r>
    </w:p>
    <w:p>
      <w:pPr>
        <w:spacing w:after="0" w:line="9" w:lineRule="exact"/>
        <w:rPr>
          <w:sz w:val="20"/>
          <w:szCs w:val="20"/>
          <w:color w:val="auto"/>
        </w:rPr>
      </w:pPr>
    </w:p>
    <w:p>
      <w:pPr>
        <w:ind w:left="480"/>
        <w:spacing w:after="0"/>
        <w:tabs>
          <w:tab w:leader="none" w:pos="6320" w:val="left"/>
        </w:tabs>
        <w:rPr>
          <w:sz w:val="20"/>
          <w:szCs w:val="20"/>
          <w:color w:val="auto"/>
        </w:rPr>
      </w:pPr>
      <w:r>
        <w:rPr>
          <w:rFonts w:ascii="Times New Roman" w:cs="Times New Roman" w:eastAsia="Times New Roman" w:hAnsi="Times New Roman"/>
          <w:sz w:val="18"/>
          <w:szCs w:val="18"/>
          <w:color w:val="auto"/>
        </w:rPr>
        <w:t>ADSs</w:t>
      </w:r>
      <w:r>
        <w:rPr>
          <w:sz w:val="20"/>
          <w:szCs w:val="20"/>
          <w:color w:val="auto"/>
        </w:rPr>
        <w:tab/>
      </w:r>
      <w:r>
        <w:rPr>
          <w:rFonts w:ascii="Times New Roman" w:cs="Times New Roman" w:eastAsia="Times New Roman" w:hAnsi="Times New Roman"/>
          <w:sz w:val="18"/>
          <w:szCs w:val="18"/>
          <w:color w:val="auto"/>
        </w:rPr>
        <w:t>to ADS holders</w:t>
      </w:r>
    </w:p>
    <w:p>
      <w:pPr>
        <w:spacing w:after="0" w:line="99" w:lineRule="exact"/>
        <w:rPr>
          <w:sz w:val="20"/>
          <w:szCs w:val="20"/>
          <w:color w:val="auto"/>
        </w:rPr>
      </w:pPr>
    </w:p>
    <w:p>
      <w:pPr>
        <w:ind w:left="200"/>
        <w:spacing w:after="0"/>
        <w:tabs>
          <w:tab w:leader="none" w:pos="460" w:val="left"/>
          <w:tab w:leader="none" w:pos="6040" w:val="left"/>
          <w:tab w:leader="none" w:pos="6320" w:val="left"/>
        </w:tabs>
        <w:rPr>
          <w:sz w:val="20"/>
          <w:szCs w:val="20"/>
          <w:color w:val="auto"/>
        </w:rPr>
      </w:pPr>
      <w:r>
        <w:rPr>
          <w:rFonts w:ascii="Times New Roman" w:cs="Times New Roman" w:eastAsia="Times New Roman" w:hAnsi="Times New Roman"/>
          <w:sz w:val="18"/>
          <w:szCs w:val="18"/>
          <w:color w:val="auto"/>
        </w:rPr>
        <w:t>•</w:t>
        <w:tab/>
        <w:t>US$0.05 (or less) per ADS per calendar year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Depositary services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Persons depositing or withdrawing shares or ADS</w:t>
            </w:r>
          </w:p>
        </w:tc>
        <w:tc>
          <w:tcPr>
            <w:tcW w:w="518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i w:val="1"/>
                <w:iCs w:val="1"/>
                <w:color w:val="auto"/>
              </w:rPr>
              <w:t>For:</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holders must pay:</w:t>
            </w:r>
          </w:p>
        </w:tc>
        <w:tc>
          <w:tcPr>
            <w:tcW w:w="220" w:type="dxa"/>
            <w:vAlign w:val="bottom"/>
          </w:tcPr>
          <w:p>
            <w:pPr>
              <w:spacing w:after="0"/>
              <w:rPr>
                <w:sz w:val="16"/>
                <w:szCs w:val="16"/>
                <w:color w:val="auto"/>
              </w:rPr>
            </w:pPr>
          </w:p>
        </w:tc>
        <w:tc>
          <w:tcPr>
            <w:tcW w:w="5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Registration or transfer fees</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Transfer and registration of shares on our share register to or from</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name of the depositary or its agent when you deposit or</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withdraw shares</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480" w:hanging="274"/>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the depositary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480" w:hanging="274"/>
        <w:spacing w:after="0" w:line="266"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other governmental charges the depositary or the custodian has to pay on any ADSs or shares underlying ADSs, such as stock transfer taxes, stamp duty or withholding taxes</w:t>
      </w:r>
    </w:p>
    <w:p>
      <w:pPr>
        <w:spacing w:after="0" w:line="67" w:lineRule="exact"/>
        <w:rPr>
          <w:rFonts w:ascii="Times New Roman" w:cs="Times New Roman" w:eastAsia="Times New Roman" w:hAnsi="Times New Roman"/>
          <w:sz w:val="18"/>
          <w:szCs w:val="18"/>
          <w:color w:val="auto"/>
        </w:rPr>
      </w:pPr>
    </w:p>
    <w:p>
      <w:pPr>
        <w:ind w:left="480" w:right="40" w:hanging="274"/>
        <w:spacing w:after="0" w:line="282"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left="289" w:right="80" w:hanging="289"/>
        <w:spacing w:after="0" w:line="261" w:lineRule="auto"/>
        <w:tabs>
          <w:tab w:leader="none" w:pos="2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(including SWIFT) and facsimile transmissions (when expressly provided in the deposit agreement) Cable (including SWIFT) and facsimile transmissions (when expressly provided in the deposit agreement)</w:t>
      </w:r>
    </w:p>
    <w:p>
      <w:pPr>
        <w:spacing w:after="0" w:line="71" w:lineRule="exact"/>
        <w:rPr>
          <w:rFonts w:ascii="Times New Roman" w:cs="Times New Roman" w:eastAsia="Times New Roman" w:hAnsi="Times New Roman"/>
          <w:sz w:val="18"/>
          <w:szCs w:val="18"/>
          <w:color w:val="auto"/>
        </w:rPr>
      </w:pPr>
    </w:p>
    <w:p>
      <w:pPr>
        <w:ind w:left="289" w:hanging="289"/>
        <w:spacing w:after="0"/>
        <w:tabs>
          <w:tab w:leader="none" w:pos="2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pacing w:after="0" w:line="117" w:lineRule="exact"/>
        <w:rPr>
          <w:rFonts w:ascii="Times New Roman" w:cs="Times New Roman" w:eastAsia="Times New Roman" w:hAnsi="Times New Roman"/>
          <w:sz w:val="18"/>
          <w:szCs w:val="18"/>
          <w:color w:val="auto"/>
        </w:rPr>
      </w:pPr>
    </w:p>
    <w:p>
      <w:pPr>
        <w:ind w:left="289" w:hanging="289"/>
        <w:spacing w:after="0"/>
        <w:tabs>
          <w:tab w:leader="none" w:pos="2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289" w:hanging="289"/>
        <w:spacing w:after="0"/>
        <w:tabs>
          <w:tab w:leader="none" w:pos="2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441" w:lineRule="exact"/>
        <w:rPr>
          <w:sz w:val="20"/>
          <w:szCs w:val="20"/>
          <w:color w:val="auto"/>
        </w:rPr>
      </w:pPr>
    </w:p>
    <w:p>
      <w:pPr>
        <w:sectPr>
          <w:pgSz w:w="11900" w:h="16838" w:orient="portrait"/>
          <w:cols w:equalWidth="0" w:num="2">
            <w:col w:w="5500" w:space="551"/>
            <w:col w:w="5089"/>
          </w:cols>
          <w:pgMar w:left="320" w:top="455" w:right="439" w:bottom="1440" w:gutter="0" w:footer="0" w:header="0"/>
          <w:type w:val="continuous"/>
        </w:sect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Cancelation of Deposited Securities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spacing w:after="0" w:line="176" w:lineRule="exact"/>
        <w:rPr>
          <w:sz w:val="20"/>
          <w:szCs w:val="20"/>
          <w:color w:val="auto"/>
        </w:rPr>
      </w:pPr>
    </w:p>
    <w:p>
      <w:pPr>
        <w:jc w:val="both"/>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 becomes effective, you are considered, by continuing to hold your ADSs,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agree to the amendment and to be bound by the ADRs and the deposit agreement as amended.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67" w:lineRule="exact"/>
        <w:rPr>
          <w:sz w:val="20"/>
          <w:szCs w:val="20"/>
          <w:color w:val="auto"/>
        </w:rPr>
      </w:pPr>
    </w:p>
    <w:p>
      <w:pPr>
        <w:ind w:left="1080" w:right="4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our shares from an exchange outside the United States on which they were listed and do not list the shares on another exchange outside the United States;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reason to believe the ADSs have become, or will become, ineligible for registration on Form F-6 under the Securities Act of 1933;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ADSs or the underlying deposited securities have become apparently worthless;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termination date and before the depositary sells, ADS holders can still surrender their ADSs and receive delivery of deposited securities,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except that the depositary may refuse to accept a surrender for the purpose of withdrawing deposited securities or reverse previously accepted surrenders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that kind that have not settled if it would interfere with the selling process. The depositary may refuse to accept a surrender for the purpose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withdrawing sale proceeds until all the deposited securities have been sold. The depositary will continue to collect distributions on deposited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but, after the termination date, the depositary is not required to register any transfer of ADSs or distribute any dividends or other distributions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deposited securities to ADS holders (until they surrender their ADSs) or give any notices or perform any other duties under the deposit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described in this paragraph.</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Limits on our Obligations and the Obligations of the Depositary; Limits on Liability to Holders of ADSs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67" w:lineRule="exact"/>
        <w:rPr>
          <w:sz w:val="20"/>
          <w:szCs w:val="20"/>
          <w:color w:val="auto"/>
        </w:rPr>
      </w:pPr>
    </w:p>
    <w:p>
      <w:pPr>
        <w:ind w:left="1080" w:right="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ADSs, make a distribution on ADSs, or permit withdrawal of shares, the depositary may require:</w:t>
      </w:r>
    </w:p>
    <w:p>
      <w:pPr>
        <w:spacing w:after="0" w:line="67" w:lineRule="exact"/>
        <w:rPr>
          <w:sz w:val="20"/>
          <w:szCs w:val="20"/>
          <w:color w:val="auto"/>
        </w:rPr>
      </w:pPr>
    </w:p>
    <w:p>
      <w:pPr>
        <w:ind w:left="1080" w:right="3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shares or other deposited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also referred to as DRS, and Profile Modification System, also referred to as Profile, will apply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7"/>
          <w:szCs w:val="17"/>
          <w:color w:val="auto"/>
        </w:rPr>
        <w:t>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or series of preferred shares will be described in the related prospectus supplement. This description will include, where applicable, a description of:</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nominal value of the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preferred share,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per preferred share (or if applicable, the calculation formula of the issue price per preferred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preferential subscription rights will be issued to existing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preferred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(preferred dividend if any) and rights if we liquidate, dissolve or wind up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 or market;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will be convertible into our ordinary shares (including in the form of ADSs) or preferred shares of another category, and, if applicable, conditions of an automatic conversion into ordinary shares (including in the form of ADSs), if any, the conversion period, the conversion price, or how such price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restrictions on transfer, sale or assignment, if any;</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Cayman Islands or United States federal income tax considerations applicable to the preferred shares;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shares ranking senior to or on a parity with the series of preferred shares being issued as to dividend rights and rights if we liquidate, dissolve or wind up our affairs;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attached to the preferred shares regarding the corporate governance of our company, which may include, for example representation rights to the board of directors;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shares.</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may cause the Company to issue from time to time, out of the authorized share capital of the Company (other than the authorized but unissued ordinary shares), series of preferred shares in their absolute discretion, subject to a re-classification of the authorized share capital of the Company to be</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320" w:top="455" w:right="5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approved by the shareholders and provided that before any preferred shares of any such series are issued, our board of directors shall by resolution of directors determine, with respect to any series of preferred shares, the terms and rights of that series.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When we issue preferred shares under this prospectus and the applicable prospectus supplement, the shares will be fully paid and non-assessable and will not have, or be subject to, any preemptive or similar rights.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40"/>
          </w:cols>
          <w:pgMar w:left="320" w:top="455" w:right="5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ordinary shares, including ordinary shares represented by ADSs.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 in respect of which this prospectus is being delivered:</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 and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purchasable upon exercise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Cayman Islands or United States federal income tax consequences;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320" w:top="455"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issue subscription rights to purchase ordinary shares, including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spacing w:after="0" w:line="18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subscription rights in respect of which this prospectus is being delivered:</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such subscription rights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shareholder;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Cayman Islands or United States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rights shall expire (subject to any extension);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prospectus supplement, we will forward, as soon as practicable, the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00"/>
          </w:cols>
          <w:pgMar w:left="320" w:top="455" w:right="7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14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131" w:lineRule="exact"/>
        <w:rPr>
          <w:sz w:val="20"/>
          <w:szCs w:val="20"/>
          <w:color w:val="auto"/>
        </w:rPr>
      </w:pPr>
    </w:p>
    <w:p>
      <w:pPr>
        <w:ind w:left="1080" w:right="1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incorporated in the Cayman Islands in order to enjoy the following benefits:</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67" w:lineRule="exact"/>
        <w:rPr>
          <w:sz w:val="20"/>
          <w:szCs w:val="20"/>
          <w:color w:val="auto"/>
        </w:rPr>
      </w:pPr>
    </w:p>
    <w:p>
      <w:pPr>
        <w:ind w:left="1080" w:right="5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upon whom process may be served in any action brought against us under the securities laws of the United States.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Walkers (Hong Kong), our counsel as to Cayman Islands law, and Global Law Office, our counsel as to PRC law, have advised us, respectively, that there is uncertainty as to whether the courts of the Cayman Islands and China, respectively, would:</w:t>
      </w:r>
    </w:p>
    <w:p>
      <w:pPr>
        <w:spacing w:after="0" w:line="67" w:lineRule="exact"/>
        <w:rPr>
          <w:sz w:val="20"/>
          <w:szCs w:val="20"/>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Walkers (Hong Kong) has informed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Walkers (Hong Kong) has informed 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w:t>
      </w:r>
    </w:p>
    <w:p>
      <w:pPr>
        <w:spacing w:after="0" w:line="3" w:lineRule="exact"/>
        <w:rPr>
          <w:sz w:val="20"/>
          <w:szCs w:val="20"/>
          <w:color w:val="auto"/>
        </w:rPr>
      </w:pPr>
    </w:p>
    <w:p>
      <w:pPr>
        <w:ind w:left="120" w:right="520" w:hanging="4"/>
        <w:spacing w:after="0" w:line="260" w:lineRule="auto"/>
        <w:tabs>
          <w:tab w:leader="none" w:pos="4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 and (v) was not obtained in a manner and is not of a kind the enforcement of which is contrary to natural justice or the public policy of the Cayman Islands.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Global Law Office,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Global Law Office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Class A ordinary shares.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Selling shareholders (if any) to be named in a prospectus supplement may, from time to time, offer and sell ordinary shares or ADSs of our company held by them pursuant to this prospectus and the applicable prospectus supplement. Such selling shareholders may sell ordinary shares to or through underwriters, dealers or agents or directly to purchasers or as otherwise set forth in the applicable prospectus supplement. See “Plan of Distribution.” Such selling shareholders may also sell, transfer or otherwise dispose of ordinary shares or ADSs in transactions exempt from the registration requirements of the Securities Act.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any selling shareholder is to offer and sell ordinary shares or ADSs pursuant to this prospectus, we will provide you with a prospectus supplement that sets forth the name of each such selling shareholder and the number of ordinary shares or ADSs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sell the securities described in this prospectus from time to time in one or more transactions, including without limitation:</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exchange on which the securities offered by this prospectus are listed or any automatic quotation system through which the securities may be quoted;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sell the securities offered by this prospectus at:</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terms of the offering of the securities, including the following:</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to the extent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to the extent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pay expenses incurred with respect to the registration of shares owned by any selling shareholders.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dealers and agents, as well as their associates, may be customers of or lenders to, and may engage in transactions with and perform services for, us and our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as to United States federal securities and New York State law. Certain legal matters in connection with any offering made pursuant to this prospectus will be passed upon for the underwriters, if any, by a law firm named in the applicable prospectus supplement. The validity of the Class A ordinary shares represented by the ADSs offered in this offering and other certain legal matters as to Cayman Islands law will be passed upon for us by Walkers (Hong Kong). Certain legal matters as to PRC law will be passed upon for us by Global Law Office and for the underwriters, if any, by a law firm named in the applicable prospectus supplement. Davis Polk &amp; Wardwell LLP may rely upon Walkers (Hong Kong) with respect to matters governed by Cayman Islands law and Global Law Office with respect to matters governed by PRC law.</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2024 and 2025, and for each of the two years in the period ended December 31, 2025, incorporated by reference into this prospectus from our 2025 Annual Report on Form 20-F for the year ended December 31, 2025, have been audited by Marcum Asia CPAs LLP, an independent registered public accounting firm, as stated in their report. Such consolidated financial statements are incorporated herein by reference in reliance upon such report given on the authority of such firm as experts in accounting and auditing. The registered business address of Marcum Asia CPAs LLP is 7 Pennsylvania Plaza Suite 830, New York, New York 10001.</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YXT.COM GROUP HOLDING LIMITED for the year ended December 31, 2023 incorporated in this prospectus by reference to the Annual Report on Form 20-F for the year ended December 31, 2025 have been so incorporated in reliance on the report of PricewaterhouseCoopers Zhong Tian LLP, an independent registered public accounting firm, given on the authority of said firm as experts in auditing and accounting. The registered business address of PricewaterhouseCoopers Zhong Tian LLP is 6/F DBS Bank Tower, 1318, Lu Jia Zui Ring Road, Pudong New Area, Shanghai, the People’s Republic of China.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that are applicable to a foreign private issuer, and in accordance with the Exchange Act, we file annual reports and other information with the SEC. Information we file with the SEC can be obtained over the internet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also find information on our website at www.yxt.com. The information contained on our website is not a part of this prospectus.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on April 29, 2026;</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contained in our registration statement on </w:t>
      </w:r>
      <w:hyperlink r:id="rId6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7, 2024, together with all amendments and reports filed for the purpose of updating that description;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securities under this prospectus, all reports on Form 20-F and any report on Form 6-K that so indicates it is being incorporated by reference, in each case, that we file or furnish with the SEC on or after the date on which the registration statement is first filed with the SEC and until the termination or completion of that offering under this prospectus.</w:t>
      </w:r>
    </w:p>
    <w:p>
      <w:pPr>
        <w:spacing w:after="0" w:line="176" w:lineRule="exact"/>
        <w:rPr>
          <w:rFonts w:ascii="Times New Roman" w:cs="Times New Roman" w:eastAsia="Times New Roman" w:hAnsi="Times New Roman"/>
          <w:sz w:val="18"/>
          <w:szCs w:val="18"/>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76"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YXT.COM GROUP HOLDING LIMITED</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Room 501-502, No. 78 East Jinshan Road</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Huqiu District, Suzhou</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Jiangsu, 215011, People’s Republic of China</w:t>
      </w:r>
    </w:p>
    <w:p>
      <w:pPr>
        <w:spacing w:after="0" w:line="20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eighth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eighth amended and restated memorandum and articles of association.</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21" w:lineRule="exact"/>
        <w:rPr>
          <w:sz w:val="20"/>
          <w:szCs w:val="20"/>
          <w:color w:val="auto"/>
        </w:rPr>
      </w:pPr>
    </w:p>
    <w:p>
      <w:pPr>
        <w:ind w:left="1220" w:hanging="241"/>
        <w:spacing w:after="0"/>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540" w:firstLine="8"/>
        <w:spacing w:after="0" w:line="255" w:lineRule="auto"/>
        <w:tabs>
          <w:tab w:leader="none" w:pos="180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540" w:right="20" w:firstLine="8"/>
        <w:spacing w:after="0" w:line="282" w:lineRule="auto"/>
        <w:tabs>
          <w:tab w:leader="none" w:pos="185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item do not apply if the information required to be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ind w:left="1100" w:right="20" w:firstLine="7"/>
        <w:spacing w:after="0" w:line="266" w:lineRule="auto"/>
        <w:tabs>
          <w:tab w:leader="none" w:pos="13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1100" w:right="80" w:firstLine="7"/>
        <w:spacing w:after="0" w:line="282" w:lineRule="auto"/>
        <w:tabs>
          <w:tab w:leader="none" w:pos="13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100" w:firstLine="7"/>
        <w:spacing w:after="0" w:line="254" w:lineRule="auto"/>
        <w:tabs>
          <w:tab w:leader="none" w:pos="13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540" w:right="240" w:firstLine="8"/>
        <w:spacing w:after="0" w:line="282" w:lineRule="auto"/>
        <w:tabs>
          <w:tab w:leader="none" w:pos="17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540" w:right="20" w:firstLine="8"/>
        <w:spacing w:after="0" w:line="253" w:lineRule="auto"/>
        <w:tabs>
          <w:tab w:leader="none" w:pos="180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8"/>
          <w:szCs w:val="18"/>
          <w:color w:val="auto"/>
        </w:rPr>
      </w:pPr>
    </w:p>
    <w:p>
      <w:pPr>
        <w:ind w:left="1100" w:right="80" w:firstLine="7"/>
        <w:spacing w:after="0" w:line="258" w:lineRule="auto"/>
        <w:tabs>
          <w:tab w:leader="none" w:pos="13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300" w:firstLine="8"/>
        <w:spacing w:after="0" w:line="282" w:lineRule="auto"/>
        <w:tabs>
          <w:tab w:leader="none" w:pos="17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540" w:right="140" w:firstLine="8"/>
        <w:spacing w:after="0" w:line="282" w:lineRule="auto"/>
        <w:tabs>
          <w:tab w:leader="none" w:pos="180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1540" w:right="160" w:firstLine="8"/>
        <w:spacing w:after="0" w:line="282" w:lineRule="auto"/>
        <w:tabs>
          <w:tab w:leader="none" w:pos="18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17" w:lineRule="exact"/>
        <w:rPr>
          <w:rFonts w:ascii="Times New Roman" w:cs="Times New Roman" w:eastAsia="Times New Roman" w:hAnsi="Times New Roman"/>
          <w:sz w:val="18"/>
          <w:szCs w:val="18"/>
          <w:color w:val="auto"/>
        </w:rPr>
      </w:pPr>
    </w:p>
    <w:p>
      <w:pPr>
        <w:ind w:left="560" w:right="20" w:firstLine="419"/>
        <w:spacing w:after="0" w:line="258" w:lineRule="auto"/>
        <w:tabs>
          <w:tab w:leader="none" w:pos="12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ind w:left="560" w:firstLine="419"/>
        <w:spacing w:after="0" w:line="254" w:lineRule="auto"/>
        <w:tabs>
          <w:tab w:leader="none" w:pos="12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00" w:type="dxa"/>
            <w:vAlign w:val="bottom"/>
            <w:gridSpan w:val="18"/>
          </w:tcPr>
          <w:p>
            <w:pPr>
              <w:ind w:left="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8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1.1*</w:t>
            </w:r>
          </w:p>
        </w:tc>
        <w:tc>
          <w:tcPr>
            <w:tcW w:w="1140" w:type="dxa"/>
            <w:vAlign w:val="bottom"/>
          </w:tcPr>
          <w:p>
            <w:pPr>
              <w:spacing w:after="0"/>
              <w:rPr>
                <w:sz w:val="24"/>
                <w:szCs w:val="24"/>
                <w:color w:val="auto"/>
              </w:rPr>
            </w:pPr>
          </w:p>
        </w:tc>
        <w:tc>
          <w:tcPr>
            <w:tcW w:w="888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8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Form of Registrant’s Specimen American Depositary Receipt (incorporated herein by reference to Exhibit 2.1 to the</w:t>
              </w:r>
            </w:hyperlink>
          </w:p>
        </w:tc>
        <w:tc>
          <w:tcPr>
            <w:tcW w:w="52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7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annual report on Form 20-F for the year ended December 31, 2024 (File No. 001-42209), as amended, initially filed with</w:t>
              </w:r>
            </w:hyperlink>
          </w:p>
        </w:tc>
        <w:tc>
          <w:tcPr>
            <w:tcW w:w="1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80" w:type="dxa"/>
            <w:vAlign w:val="bottom"/>
            <w:gridSpan w:val="2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the SEC on April 24, 2025)</w:t>
              </w:r>
            </w:hyperlink>
          </w:p>
        </w:tc>
      </w:tr>
      <w:tr>
        <w:trPr>
          <w:trHeight w:val="20"/>
        </w:trPr>
        <w:tc>
          <w:tcPr>
            <w:tcW w:w="21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8880" w:type="dxa"/>
            <w:vAlign w:val="bottom"/>
            <w:gridSpan w:val="20"/>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Registrant’s Specimen Certificate for Class A Ordinary Shares (incorporated herein by reference to Exhibit 4.2 to the</w:t>
              </w:r>
            </w:hyperlink>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5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registration statement on Form F-1 (File No. 333-280772), as amended, initially filed with the SEC on July 12, 2024)</w:t>
              </w:r>
            </w:hyperlink>
          </w:p>
        </w:tc>
        <w:tc>
          <w:tcPr>
            <w:tcW w:w="380" w:type="dxa"/>
            <w:vAlign w:val="bottom"/>
            <w:gridSpan w:val="3"/>
          </w:tcPr>
          <w:p>
            <w:pPr>
              <w:spacing w:after="0"/>
              <w:rPr>
                <w:sz w:val="17"/>
                <w:szCs w:val="17"/>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86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Deposit Agreement between the Registrant, the depositary and holders of the American Depositary Shares (incorporated</w:t>
              </w:r>
            </w:hyperlink>
          </w:p>
        </w:tc>
        <w:tc>
          <w:tcPr>
            <w:tcW w:w="20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80" w:type="dxa"/>
            <w:vAlign w:val="bottom"/>
            <w:gridSpan w:val="2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herein by reference to Exhibit 2.3 to the annual report on Form 20-F for the year ended December 31, 2024 (File</w:t>
              </w:r>
            </w:hyperlink>
          </w:p>
        </w:tc>
      </w:tr>
      <w:tr>
        <w:trPr>
          <w:trHeight w:val="196"/>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No. 001-42209), as amended, initially filed with the SEC on April 24, 2025)</w:t>
              </w:r>
            </w:hyperlink>
          </w:p>
        </w:tc>
        <w:tc>
          <w:tcPr>
            <w:tcW w:w="2600" w:type="dxa"/>
            <w:vAlign w:val="bottom"/>
            <w:tcBorders>
              <w:top w:val="single" w:sz="8" w:color="0000EE"/>
            </w:tcBorders>
            <w:gridSpan w:val="5"/>
          </w:tcPr>
          <w:p>
            <w:pPr>
              <w:spacing w:after="0"/>
              <w:rPr>
                <w:sz w:val="17"/>
                <w:szCs w:val="17"/>
                <w:color w:val="auto"/>
              </w:rPr>
            </w:pPr>
          </w:p>
        </w:tc>
        <w:tc>
          <w:tcPr>
            <w:tcW w:w="780" w:type="dxa"/>
            <w:vAlign w:val="bottom"/>
            <w:gridSpan w:val="7"/>
          </w:tcPr>
          <w:p>
            <w:pPr>
              <w:spacing w:after="0"/>
              <w:rPr>
                <w:sz w:val="17"/>
                <w:szCs w:val="17"/>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8880" w:type="dxa"/>
            <w:vAlign w:val="bottom"/>
            <w:gridSpan w:val="20"/>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Eighth Amended and Restated Memorandum and Articles of Association of the Registrant, as currently in effect</w:t>
              </w:r>
            </w:hyperlink>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80" w:type="dxa"/>
            <w:vAlign w:val="bottom"/>
            <w:gridSpan w:val="20"/>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(incorporated herein by reference to Exhibit 3.2 to the registration statement on Form F-1 (File No. 333-280772), as</w:t>
              </w:r>
            </w:hyperlink>
          </w:p>
        </w:tc>
      </w:tr>
      <w:tr>
        <w:trPr>
          <w:trHeight w:val="196"/>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initially filed with the SEC on July 12, 2024)</w:t>
              </w:r>
            </w:hyperlink>
          </w:p>
        </w:tc>
        <w:tc>
          <w:tcPr>
            <w:tcW w:w="540" w:type="dxa"/>
            <w:vAlign w:val="bottom"/>
            <w:gridSpan w:val="6"/>
          </w:tcPr>
          <w:p>
            <w:pPr>
              <w:spacing w:after="0"/>
              <w:rPr>
                <w:sz w:val="17"/>
                <w:szCs w:val="17"/>
                <w:color w:val="auto"/>
              </w:rPr>
            </w:pPr>
          </w:p>
        </w:tc>
      </w:tr>
      <w:tr>
        <w:trPr>
          <w:trHeight w:val="20"/>
        </w:trPr>
        <w:tc>
          <w:tcPr>
            <w:tcW w:w="21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6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Opinion of Walkers (Hong Kong) regarding the validity of securities being registered</w:t>
              </w:r>
            </w:hyperlink>
          </w:p>
        </w:tc>
        <w:tc>
          <w:tcPr>
            <w:tcW w:w="2740" w:type="dxa"/>
            <w:vAlign w:val="bottom"/>
            <w:gridSpan w:val="11"/>
          </w:tcPr>
          <w:p>
            <w:pPr>
              <w:spacing w:after="0"/>
              <w:rPr>
                <w:sz w:val="24"/>
                <w:szCs w:val="24"/>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88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Marcum Asia CPAs LLP, Independent Registered Public Accounting Firm</w:t>
            </w:r>
          </w:p>
        </w:tc>
      </w:tr>
      <w:tr>
        <w:trPr>
          <w:trHeight w:val="20"/>
        </w:trPr>
        <w:tc>
          <w:tcPr>
            <w:tcW w:w="21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23.2**</w:t>
            </w:r>
          </w:p>
        </w:tc>
        <w:tc>
          <w:tcPr>
            <w:tcW w:w="88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PricewaterhouseCoopers Zhong Tian LLP, Independent Registered Public Accounting Firm</w:t>
            </w: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23.3#</w:t>
            </w:r>
          </w:p>
        </w:tc>
        <w:tc>
          <w:tcPr>
            <w:tcW w:w="74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Consent of Walkers (Hong Kong) (included in Exhibit 5.1)</w:t>
              </w:r>
            </w:hyperlink>
          </w:p>
        </w:tc>
        <w:tc>
          <w:tcPr>
            <w:tcW w:w="1460" w:type="dxa"/>
            <w:vAlign w:val="bottom"/>
            <w:gridSpan w:val="9"/>
          </w:tcPr>
          <w:p>
            <w:pPr>
              <w:spacing w:after="0"/>
              <w:rPr>
                <w:sz w:val="24"/>
                <w:szCs w:val="24"/>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23.4#</w:t>
            </w:r>
          </w:p>
        </w:tc>
        <w:tc>
          <w:tcPr>
            <w:tcW w:w="41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Consent of Global Law Office (included in Exhibit 99.1)</w:t>
              </w:r>
            </w:hyperlink>
          </w:p>
        </w:tc>
        <w:tc>
          <w:tcPr>
            <w:tcW w:w="140" w:type="dxa"/>
            <w:vAlign w:val="bottom"/>
            <w:tcBorders>
              <w:top w:val="single" w:sz="8" w:color="0000EE"/>
            </w:tcBorders>
          </w:tcPr>
          <w:p>
            <w:pPr>
              <w:spacing w:after="0"/>
              <w:rPr>
                <w:sz w:val="24"/>
                <w:szCs w:val="24"/>
                <w:color w:val="auto"/>
              </w:rPr>
            </w:pPr>
          </w:p>
        </w:tc>
        <w:tc>
          <w:tcPr>
            <w:tcW w:w="4640" w:type="dxa"/>
            <w:vAlign w:val="bottom"/>
            <w:gridSpan w:val="14"/>
          </w:tcPr>
          <w:p>
            <w:pPr>
              <w:spacing w:after="0"/>
              <w:rPr>
                <w:sz w:val="24"/>
                <w:szCs w:val="24"/>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3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Power of attorney (included on signature page hereof)</w:t>
              </w:r>
            </w:hyperlink>
          </w:p>
        </w:tc>
        <w:tc>
          <w:tcPr>
            <w:tcW w:w="4980" w:type="dxa"/>
            <w:vAlign w:val="bottom"/>
            <w:gridSpan w:val="17"/>
          </w:tcPr>
          <w:p>
            <w:pPr>
              <w:spacing w:after="0"/>
              <w:rPr>
                <w:sz w:val="24"/>
                <w:szCs w:val="24"/>
                <w:color w:val="auto"/>
              </w:rPr>
            </w:pPr>
          </w:p>
        </w:tc>
      </w:tr>
      <w:tr>
        <w:trPr>
          <w:trHeight w:val="30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99.1#</w:t>
            </w:r>
          </w:p>
        </w:tc>
        <w:tc>
          <w:tcPr>
            <w:tcW w:w="8880" w:type="dxa"/>
            <w:vAlign w:val="bottom"/>
            <w:gridSpan w:val="20"/>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Opinion of Global Law Office regarding certain PRC law matters</w:t>
              </w:r>
            </w:hyperlink>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4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Filing Fee Table</w:t>
              </w:r>
            </w:hyperlink>
          </w:p>
        </w:tc>
        <w:tc>
          <w:tcPr>
            <w:tcW w:w="3540" w:type="dxa"/>
            <w:vAlign w:val="bottom"/>
            <w:tcBorders>
              <w:top w:val="single" w:sz="8" w:color="0000EE"/>
            </w:tcBorders>
            <w:gridSpan w:val="6"/>
          </w:tcPr>
          <w:p>
            <w:pPr>
              <w:spacing w:after="0"/>
              <w:rPr>
                <w:sz w:val="24"/>
                <w:szCs w:val="24"/>
                <w:color w:val="auto"/>
              </w:rPr>
            </w:pPr>
          </w:p>
        </w:tc>
        <w:tc>
          <w:tcPr>
            <w:tcW w:w="4160" w:type="dxa"/>
            <w:vAlign w:val="bottom"/>
            <w:gridSpan w:val="13"/>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20" w:hanging="424"/>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under the Securities Exchange Act of 1934 and incorporated herein by reference.</w:t>
      </w: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registration statement on Form F-3.</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June 26, 2026.</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YXT.COM GROUP HOLDING LIMITED</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Shen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06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Shen Cao</w:t>
      </w:r>
    </w:p>
    <w:p>
      <w:pPr>
        <w:spacing w:after="0" w:line="23" w:lineRule="exact"/>
        <w:rPr>
          <w:sz w:val="20"/>
          <w:szCs w:val="20"/>
          <w:color w:val="auto"/>
        </w:rPr>
      </w:pPr>
    </w:p>
    <w:p>
      <w:pPr>
        <w:ind w:left="7080"/>
        <w:spacing w:after="0"/>
        <w:tabs>
          <w:tab w:leader="none" w:pos="77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Xiaoyan Lu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26, 2026:</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0" w:type="dxa"/>
            <w:vAlign w:val="bottom"/>
          </w:tcPr>
          <w:p>
            <w:pPr>
              <w:spacing w:after="0"/>
              <w:rPr>
                <w:sz w:val="15"/>
                <w:szCs w:val="15"/>
                <w:color w:val="auto"/>
              </w:rPr>
            </w:pPr>
          </w:p>
        </w:tc>
      </w:tr>
      <w:tr>
        <w:trPr>
          <w:trHeight w:val="425"/>
        </w:trPr>
        <w:tc>
          <w:tcPr>
            <w:tcW w:w="2840" w:type="dxa"/>
            <w:vAlign w:val="bottom"/>
            <w:tcBorders>
              <w:bottom w:val="single" w:sz="8" w:color="auto"/>
            </w:tcBorders>
            <w:gridSpan w:val="2"/>
          </w:tcPr>
          <w:p>
            <w:pPr>
              <w:jc w:val="center"/>
              <w:ind w:left="21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Director, Chairman of Board and Chief Executive Officer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Xiaoyan Lu</w:t>
            </w:r>
          </w:p>
        </w:tc>
        <w:tc>
          <w:tcPr>
            <w:tcW w:w="52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2840" w:type="dxa"/>
            <w:vAlign w:val="bottom"/>
            <w:tcBorders>
              <w:bottom w:val="single" w:sz="8" w:color="auto"/>
            </w:tcBorders>
            <w:gridSpan w:val="2"/>
          </w:tcPr>
          <w:p>
            <w:pPr>
              <w:jc w:val="center"/>
              <w:ind w:left="21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Jie Ding</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840" w:type="dxa"/>
            <w:vAlign w:val="bottom"/>
            <w:tcBorders>
              <w:bottom w:val="single" w:sz="8" w:color="auto"/>
            </w:tcBorders>
            <w:gridSpan w:val="2"/>
          </w:tcPr>
          <w:p>
            <w:pPr>
              <w:jc w:val="center"/>
              <w:ind w:left="21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Guodian Huang</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840" w:type="dxa"/>
            <w:vAlign w:val="bottom"/>
            <w:tcBorders>
              <w:bottom w:val="single" w:sz="8" w:color="auto"/>
            </w:tcBorders>
            <w:gridSpan w:val="2"/>
          </w:tcPr>
          <w:p>
            <w:pPr>
              <w:jc w:val="center"/>
              <w:ind w:left="21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Yunjian Ling</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Shen Cao</w:t>
            </w:r>
          </w:p>
        </w:tc>
        <w:tc>
          <w:tcPr>
            <w:tcW w:w="52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Shen Cao</w:t>
            </w:r>
          </w:p>
        </w:tc>
        <w:tc>
          <w:tcPr>
            <w:tcW w:w="52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bl>
    <w:p>
      <w:pPr>
        <w:spacing w:after="0" w:line="220" w:lineRule="exact"/>
        <w:rPr>
          <w:sz w:val="20"/>
          <w:szCs w:val="20"/>
          <w:color w:val="auto"/>
        </w:rPr>
      </w:pPr>
    </w:p>
    <w:p>
      <w:pPr>
        <w:ind w:left="700" w:right="9200" w:hanging="584"/>
        <w:spacing w:after="0" w:line="305" w:lineRule="auto"/>
        <w:tabs>
          <w:tab w:leader="none" w:pos="2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/s/ Shen Cao Name: Shen Cao </w:t>
      </w:r>
      <w:r>
        <w:rPr>
          <w:rFonts w:ascii="Times New Roman" w:cs="Times New Roman" w:eastAsia="Times New Roman" w:hAnsi="Times New Roman"/>
          <w:sz w:val="17"/>
          <w:szCs w:val="17"/>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-323850</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undersigned, the duly authorized representative in the United States of YXT.COM GROUP HOLDING LIMITED has signed this registration statement or amendment thereto in New York, United States on June 26, 2026.</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80"/>
          </w:cols>
          <w:pgMar w:left="320" w:top="455" w:right="4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173990</wp:posOffset>
            </wp:positionV>
            <wp:extent cx="1962785"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1 to Registration Statement on Form F-3 (No. 333-292185) of our report dated April 29, 2026 relating to the financial statements appearing in the Annual Report on Form 20-F of YXT.COM Group Holding Limited for the year ended December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ectPr>
          <w:pgSz w:w="11900" w:h="16838" w:orient="portrait"/>
          <w:cols w:equalWidth="0" w:num="1">
            <w:col w:w="11020"/>
          </w:cols>
          <w:pgMar w:left="440" w:top="117" w:right="4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417445" cy="574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241744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YXT.COM GROUP HOLDING LIMITED of our report dated May 28, 2024, except for the change in the manner in which the Company accounts for segments discussed in Note 2 to the consolidated financial statements, as to which the date is April 24, 2025 relating to the financial statements, which appears in YXT.COM GROUP HOLDING LIMITED’s Annual Report on Form 20-F for the year ended December 31, 2025. We also consent to the reference to us under the heading “Experts” in such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Zhong Tian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3177540</wp:posOffset>
            </wp:positionV>
            <wp:extent cx="22542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2254250" cy="17145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www.pwccn.com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11/F PricewaterhouseCoopers Center, Link Square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 Hu Bin Road, Huangpu District, Shanghai 200021, China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+86 (21) 2323 8888, F: +86 (21) 2323 8800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sectPr>
      <w:pgSz w:w="11900" w:h="16838" w:orient="portrait"/>
      <w:cols w:equalWidth="0" w:num="7">
        <w:col w:w="4140" w:space="720"/>
        <w:col w:w="4540" w:space="720"/>
        <w:col w:w="40" w:space="140"/>
        <w:col w:w="40" w:space="140"/>
        <w:col w:w="40" w:space="140"/>
        <w:col w:w="40" w:space="140"/>
        <w:col w:w="180"/>
      </w:cols>
      <w:pgMar w:left="440" w:top="117"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lowerRoman"/>
      <w:start w:val="4"/>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419AC241"/>
    <w:multiLevelType w:val="hybridMultilevel"/>
    <w:lvl w:ilvl="0">
      <w:lvlJc w:val="left"/>
      <w:lvlText w:val="(%1)"/>
      <w:numFmt w:val="decimal"/>
      <w:start w:val="2"/>
    </w:lvl>
    <w:lvl w:ilvl="1">
      <w:lvlJc w:val="left"/>
      <w:lvlText w:val="(%2)"/>
      <w:numFmt w:val="lowerRoman"/>
      <w:start w:val="1"/>
    </w:lvl>
  </w:abstractNum>
  <w:abstractNum w:abstractNumId="32">
    <w:nsid w:val="5577F8E1"/>
    <w:multiLevelType w:val="hybridMultilevel"/>
    <w:lvl w:ilvl="0">
      <w:lvlJc w:val="left"/>
      <w:lvlText w:val="%1"/>
      <w:numFmt w:val="lowerLetter"/>
      <w:start w:val="1"/>
    </w:lvl>
    <w:lvl w:ilvl="1">
      <w:lvlJc w:val="left"/>
      <w:lvlText w:val="(%2)"/>
      <w:numFmt w:val="lowerRoman"/>
      <w:start w:val="1"/>
    </w:lvl>
  </w:abstractNum>
  <w:abstractNum w:abstractNumId="33">
    <w:nsid w:val="440BADFC"/>
    <w:multiLevelType w:val="hybridMultilevel"/>
    <w:lvl w:ilvl="0">
      <w:lvlJc w:val="left"/>
      <w:lvlText w:val="(%1)"/>
      <w:numFmt w:val="lowerLetter"/>
      <w:start w:val="2"/>
    </w:lvl>
    <w:lvl w:ilvl="1">
      <w:lvlJc w:val="left"/>
      <w:lvlText w:val="%2"/>
      <w:numFmt w:val="lowerRoman"/>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jpeg"/><Relationship Id="rId82" Type="http://schemas.openxmlformats.org/officeDocument/2006/relationships/image" Target="media/image66.jpeg"/><Relationship Id="rId83" Type="http://schemas.openxmlformats.org/officeDocument/2006/relationships/image" Target="media/image67.jpeg"/><Relationship Id="rId62" Type="http://schemas.openxmlformats.org/officeDocument/2006/relationships/hyperlink" Target="http://www.sec.gov/ix?doc=/Archives/edgar/data/1872090/000110465926051465/yxt-20251231x20f.htm" TargetMode="External"/><Relationship Id="rId63" Type="http://schemas.openxmlformats.org/officeDocument/2006/relationships/hyperlink" Target="http://www.sec.gov/Archives/edgar/data/1872090/000119312524195585/d856750d8a12b.htm" TargetMode="External"/><Relationship Id="rId68" Type="http://schemas.openxmlformats.org/officeDocument/2006/relationships/hyperlink" Target="http://www.sec.gov/Archives/edgar/data/1872090/000119312525092148/d914461dex23.htm" TargetMode="External"/><Relationship Id="rId69" Type="http://schemas.openxmlformats.org/officeDocument/2006/relationships/hyperlink" Target="http://www.sec.gov/Archives/edgar/data/1872090/000119312524191095/d196858dex42.htm" TargetMode="External"/><Relationship Id="rId70" Type="http://schemas.openxmlformats.org/officeDocument/2006/relationships/hyperlink" Target="http://www.sec.gov/Archives/edgar/data/1872090/000119312524178534/d196858dex32.htm" TargetMode="External"/><Relationship Id="rId71" Type="http://schemas.openxmlformats.org/officeDocument/2006/relationships/hyperlink" Target="http://www.sec.gov/Archives/edgar/data/0001872090/000119312525321644/d78417dex51.htm" TargetMode="External"/><Relationship Id="rId72" Type="http://schemas.openxmlformats.org/officeDocument/2006/relationships/hyperlink" Target="http://www.sec.gov/Archives/edgar/data/0001872090/000119312525321644/d78417dex991.htm" TargetMode="External"/><Relationship Id="rId73" Type="http://schemas.openxmlformats.org/officeDocument/2006/relationships/hyperlink" Target="http://www.sec.gov/Archives/edgar/data/0001872090/000119312525321644/d78417df3.htm#sig" TargetMode="External"/><Relationship Id="rId74" Type="http://schemas.openxmlformats.org/officeDocument/2006/relationships/hyperlink" Target="http://www.sec.gov/ix?doc=/Archives/edgar/data/1872090/000119312525321644/d78417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2026-06-26T08:19:57Z</dcterms:created>
  <dcterms:modified xsi:type="dcterms:W3CDTF">2026-06-26T08:19:57Z</dcterms:modified>
</cp:coreProperties>
</file>