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534d1_6k.htm"/>
      <w:bookmarkStart w:id="1" w:name="kstm2622534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YXT.COM GROUP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501-502, No. 78 East Jinshan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Huqiu District, Suzhou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Jiangsu, 215011,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 (512) 6689 9881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YXT.COM Group Holding Limited (the “Company”) entered into that certain securities purchase agreement (the “Purchase Agreement”) with a non-affiliated institutional investor (the “Purchaser”) pursuant to which the Company agreed to sell 150,000 American Depositary Shares (“ADSs”), each representing thirty (30) Class A ordinary shares of the Company, par value $0.0001 per share (“Ordinary Shares”), in a registered direct offering (the “Offering”). The offering price for each ADS is $7.00 (the “Offering Price”). The gross proceeds to the Company from the Offering were $1,050,000 before deducting placement agent’s fees and other estimated Offering expenses. The Company currently intends to use the net proceeds from the Offering for investment in research and development to enhance and expand our solution offerings, investment in technology system and infrastructure to improve our operational efficiency, marketing and brand promotions, strategic investments and acquisitions complementary to our business, and for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were offered under the Company’s registration statement on Form F-3 (File No. 333-292185), initially filed with the U.S. Securities and Exchange Commission (the “SEC”) on December 17, 2025, as amended, and declared effective on June 29, 2026 (the “Registration Statement”), and are being offered and sold pursuant to a prospectus supplement, dated August 6, 2026, filed with the SEC pursuant to Rule 424(b)(5) under the Securities Act of 1933, as amended (the “Securities Act”), and the accompanying base prospectus, dated June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Obligations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subject to certain exceptions, (A) not to (i) issue, enter into any agreement to issue or announce the issuance or proposed issuance of any ADSs, Ordinary Shares or securities convertible into Ordinary Shares until 30 days after the closing date of the Offering, (ii) file any registration statement or amendment or supplement thereto, other than (w) the prospectus supplement to the Registration Statement in connection with the Offering, (x) a registration statement on Form S-8 in connection with any employee benefit plan, (y) a registration statement on Form F-6, or any amendment thereto, relating to the ADSs, or (z) any amendment or supplement to the Registration Statement, and any report filed under the Securities Exchange Act of 1934, as amended (the “Exchange Act”), that is incorporated by reference therein, in each case that the Company is required to file under the Securities Act, the Exchange Act or the rules and regulations of the SEC; and (B) not to issue certain securities if the issuance would constitute a Variable Rate Transaction (as such term is defined in the Purchase Agreement) for a period of 30 days from the closing date of the Offering. The Purchase Agreement contains customary representations, warranties, and covenants by the Company. It also provides for customary indemnification by the Company to the Purchaser for losses or damages arising out of or in connection with the Offering, including for breach of the representations and warranties. The Purchase Agreement also contains other obligations of the parties and termination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each of the directors and officers of the Company entered into a lock-up agreement, dated August 6, 2026, pursuant to which such person agreed, subject to certain exceptions, not to offer, sell, contract to sell, pledge or otherwise dispose of any Ordinary Shares or ADSs beneficially owned by such person, without the prior written consent of Univest Securities, LLC, for a period of thirty (30) days following the closing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Agency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on August 6, 2026, the Company entered into a placement agency agreement (the “Placement Agency Agreement”) with Univest Securities, LLC (the “Placement Agent”), pursuant to which the Placement Agent agreed to act as placement agent on a “reasonable best efforts” basis in connection with the Offering. Pursuant to the Placement Agency Agreement, the Company agreed to pay the Placement Agent an aggregate fee equal to 7.0% of the gross proceeds raised in the Offering, other than gross proceeds raised from certain pre-existing investors sourced directly by the Company, and reimburse the Placement Agent for its reasonable out-of-pocket expenses, including legal fees, in an amount up to $100,000. The Placement Agency Agreement contains customary representations, warranties, and covenants by the Company. It also provides for customary indemnification by each of the Company and the Placement Agent for losses or damages arising out of or in connection with the Offering, including for liabilities under the Securities Act, other obligations of the parties and termination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was priced on August 6, 2026. The closing of the Offering took place on August 7, 2026, at which time the Company issued and sold the 150,000 ADSs to the Purchaser against payment of the aggregate purchase price of $1,050,000.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purport to be a complete description of each of the Placement Agency Agreement, the Purchase Agreement and the form of lock-up agreement, and is qualified in its entirety by reference to the full text of each of such documents, which are filed as Exhibits 1.1, 10.1 and 10.2, respectively, to this Report on Form 6-K (this “6-K”)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contains forward-looking statements. Forward-looking statements include statements herein with respect to, among other things, the anticipated use of proceeds from such offering, and the successful execution of the Company’s business strategy. These statements are based on current expectations, estimates and projections about the Company’s business based, in part, on assumptions made by its management. These statements are not guarantees of future performances and involve risks, uncertainties and assumptions that are difficult to predict. Therefore, actual outcomes and results may differ materially from what is expressed or forecasted in the forward-looking statements due to numerous factors, including those risks discussed in the Registration Statement, the Company’s annual report on Form 20-F for the fiscal year ended December 31, 2025, and in other documents that the Company files from time to time with the SEC. Any forward-looking statements speak only as of the date on which they are made, and the Company undertakes no obligation to update any forward-looking statement to reflect events or circumstances after the date of this Form 6-K,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2"/>
        <w:gridCol w:w="60"/>
        <w:gridCol w:w="9253"/>
      </w:tblGrid>
      <w:tr>
        <w:trPr/>
        <w:tc>
          <w:tcPr>
            <w:tcW w:w="8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92" w:type="dxa"/>
            <w:tcBorders/>
            <w:vAlign w:val="center"/>
          </w:tcPr>
          <w:p>
            <w:pPr>
              <w:pStyle w:val="TableContents"/>
              <w:bidi w:val="0"/>
              <w:spacing w:before="0" w:after="283"/>
              <w:jc w:val="left"/>
              <w:rPr/>
            </w:pPr>
            <w:hyperlink w:anchor="tm2622534d1_ex1-1.htm">
              <w:r>
                <w:rPr>
                  <w:rStyle w:val="InternetLink"/>
                  <w:rFonts w:ascii="Times New Roman;Times;Serif" w:hAnsi="Times New Roman;Times;Serif"/>
                  <w:sz w:val="20"/>
                </w:rPr>
                <w:t>1.1</w:t>
              </w:r>
            </w:hyperlink>
          </w:p>
        </w:tc>
        <w:tc>
          <w:tcPr>
            <w:tcW w:w="60"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both"/>
              <w:rPr/>
            </w:pPr>
            <w:hyperlink w:anchor="tm2622534d1_ex1-1.htm">
              <w:r>
                <w:rPr>
                  <w:rStyle w:val="InternetLink"/>
                  <w:rFonts w:ascii="Times New Roman;Times;Serif" w:hAnsi="Times New Roman;Times;Serif"/>
                  <w:sz w:val="20"/>
                </w:rPr>
                <w:t>Placement Agency Agreement, dated as of August 6, 2026, by and between YXT.COM Group Holding Limited and Univest Securities, LLC, as placement agent</w:t>
              </w:r>
            </w:hyperlink>
          </w:p>
        </w:tc>
      </w:tr>
      <w:tr>
        <w:trPr/>
        <w:tc>
          <w:tcPr>
            <w:tcW w:w="892" w:type="dxa"/>
            <w:tcBorders/>
            <w:vAlign w:val="center"/>
          </w:tcPr>
          <w:p>
            <w:pPr>
              <w:pStyle w:val="TableContents"/>
              <w:bidi w:val="0"/>
              <w:spacing w:before="0" w:after="283"/>
              <w:jc w:val="left"/>
              <w:rPr/>
            </w:pPr>
            <w:hyperlink w:anchor="tm2622534d1_ex5-1.htm">
              <w:r>
                <w:rPr>
                  <w:rStyle w:val="InternetLink"/>
                  <w:rFonts w:ascii="Times New Roman;Times;Serif" w:hAnsi="Times New Roman;Times;Serif"/>
                  <w:sz w:val="20"/>
                </w:rPr>
                <w:t>5.1</w:t>
              </w:r>
            </w:hyperlink>
          </w:p>
        </w:tc>
        <w:tc>
          <w:tcPr>
            <w:tcW w:w="60"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pPr>
            <w:hyperlink w:anchor="tm2622534d1_ex5-1.htm">
              <w:r>
                <w:rPr>
                  <w:rStyle w:val="InternetLink"/>
                  <w:rFonts w:ascii="Times New Roman;Times;Serif" w:hAnsi="Times New Roman;Times;Serif"/>
                  <w:sz w:val="20"/>
                </w:rPr>
                <w:t>Opinion of Walkers (Hong Kong), Cayman Islands counsel to the Company</w:t>
              </w:r>
            </w:hyperlink>
          </w:p>
        </w:tc>
      </w:tr>
      <w:tr>
        <w:trPr/>
        <w:tc>
          <w:tcPr>
            <w:tcW w:w="892" w:type="dxa"/>
            <w:tcBorders/>
            <w:vAlign w:val="center"/>
          </w:tcPr>
          <w:p>
            <w:pPr>
              <w:pStyle w:val="TableContents"/>
              <w:bidi w:val="0"/>
              <w:spacing w:before="0" w:after="283"/>
              <w:jc w:val="left"/>
              <w:rPr/>
            </w:pPr>
            <w:hyperlink w:anchor="tm2622534d1_ex5-1.htm">
              <w:r>
                <w:rPr>
                  <w:rStyle w:val="InternetLink"/>
                  <w:rFonts w:ascii="Times New Roman;Times;Serif" w:hAnsi="Times New Roman;Times;Serif"/>
                  <w:sz w:val="20"/>
                </w:rPr>
                <w:t>8.1</w:t>
              </w:r>
            </w:hyperlink>
          </w:p>
        </w:tc>
        <w:tc>
          <w:tcPr>
            <w:tcW w:w="60"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both"/>
              <w:rPr/>
            </w:pPr>
            <w:hyperlink w:anchor="tm2622534d1_ex5-1.htm">
              <w:r>
                <w:rPr>
                  <w:rStyle w:val="InternetLink"/>
                  <w:rFonts w:ascii="Times New Roman;Times;Serif" w:hAnsi="Times New Roman;Times;Serif"/>
                  <w:sz w:val="20"/>
                </w:rPr>
                <w:t>Opinion of Walkers (Hong Kong), Cayman Islands counsel to the Company, regarding certain Cayman Islands tax matters (included in Exhibit 5.</w:t>
              </w:r>
            </w:hyperlink>
            <w:hyperlink w:anchor="tm2622534d1_ex5-1.htm">
              <w:r>
                <w:rPr>
                  <w:rStyle w:val="InternetLink"/>
                  <w:rFonts w:ascii="Times New Roman;Times;Serif" w:hAnsi="Times New Roman;Times;Serif"/>
                </w:rPr>
                <w:t>1</w:t>
              </w:r>
            </w:hyperlink>
            <w:hyperlink w:anchor="tm2622534d1_ex5-1.htm">
              <w:r>
                <w:rPr>
                  <w:rStyle w:val="InternetLink"/>
                </w:rPr>
                <w:t>)</w:t>
              </w:r>
            </w:hyperlink>
          </w:p>
        </w:tc>
      </w:tr>
      <w:tr>
        <w:trPr/>
        <w:tc>
          <w:tcPr>
            <w:tcW w:w="892" w:type="dxa"/>
            <w:tcBorders/>
            <w:vAlign w:val="center"/>
          </w:tcPr>
          <w:p>
            <w:pPr>
              <w:pStyle w:val="TableContents"/>
              <w:bidi w:val="0"/>
              <w:spacing w:before="0" w:after="283"/>
              <w:jc w:val="left"/>
              <w:rPr/>
            </w:pPr>
            <w:hyperlink w:anchor="tm2622534d1_ex99-1.htm">
              <w:r>
                <w:rPr>
                  <w:rStyle w:val="InternetLink"/>
                  <w:rFonts w:ascii="Times New Roman;Times;Serif" w:hAnsi="Times New Roman;Times;Serif"/>
                  <w:sz w:val="20"/>
                </w:rPr>
                <w:t>8.2</w:t>
              </w:r>
            </w:hyperlink>
          </w:p>
        </w:tc>
        <w:tc>
          <w:tcPr>
            <w:tcW w:w="60"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pPr>
            <w:hyperlink w:anchor="tm2622534d1_ex99-1.htm">
              <w:r>
                <w:rPr>
                  <w:rStyle w:val="InternetLink"/>
                  <w:rFonts w:ascii="Times New Roman;Times;Serif" w:hAnsi="Times New Roman;Times;Serif"/>
                  <w:sz w:val="20"/>
                </w:rPr>
                <w:t>Opinion of Global Law Office, PRC counsel to the Company, regarding certain PRC tax matters (included in Exhibit 99.</w:t>
              </w:r>
            </w:hyperlink>
            <w:hyperlink w:anchor="tm2622534d1_ex99-1.htm">
              <w:r>
                <w:rPr>
                  <w:rStyle w:val="InternetLink"/>
                  <w:rFonts w:ascii="Times New Roman;Times;Serif" w:hAnsi="Times New Roman;Times;Serif"/>
                </w:rPr>
                <w:t>1</w:t>
              </w:r>
            </w:hyperlink>
            <w:hyperlink w:anchor="tm2622534d1_ex99-1.htm">
              <w:r>
                <w:rPr>
                  <w:rStyle w:val="InternetLink"/>
                </w:rPr>
                <w:t>)</w:t>
              </w:r>
            </w:hyperlink>
          </w:p>
        </w:tc>
      </w:tr>
      <w:tr>
        <w:trPr/>
        <w:tc>
          <w:tcPr>
            <w:tcW w:w="892" w:type="dxa"/>
            <w:tcBorders/>
            <w:vAlign w:val="center"/>
          </w:tcPr>
          <w:p>
            <w:pPr>
              <w:pStyle w:val="TableContents"/>
              <w:bidi w:val="0"/>
              <w:spacing w:before="0" w:after="283"/>
              <w:jc w:val="left"/>
              <w:rPr/>
            </w:pPr>
            <w:hyperlink w:anchor="tm2622534d1_ex10-1.htm">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both"/>
              <w:rPr/>
            </w:pPr>
            <w:hyperlink w:anchor="tm2622534d1_ex10-1.htm">
              <w:r>
                <w:rPr>
                  <w:rStyle w:val="InternetLink"/>
                  <w:rFonts w:ascii="Times New Roman;Times;Serif" w:hAnsi="Times New Roman;Times;Serif"/>
                  <w:sz w:val="20"/>
                </w:rPr>
                <w:t>Form of Securities Purchase Agreement, dated as of August 6, 2026, by and between the Company and the purchaser signatory thereto</w:t>
              </w:r>
            </w:hyperlink>
          </w:p>
        </w:tc>
      </w:tr>
      <w:tr>
        <w:trPr/>
        <w:tc>
          <w:tcPr>
            <w:tcW w:w="892" w:type="dxa"/>
            <w:tcBorders/>
            <w:vAlign w:val="center"/>
          </w:tcPr>
          <w:p>
            <w:pPr>
              <w:pStyle w:val="TableContents"/>
              <w:bidi w:val="0"/>
              <w:spacing w:before="0" w:after="283"/>
              <w:jc w:val="left"/>
              <w:rPr/>
            </w:pPr>
            <w:hyperlink w:anchor="tm2622534d1_ex10-2.htm">
              <w:r>
                <w:rPr>
                  <w:rStyle w:val="InternetLink"/>
                  <w:rFonts w:ascii="Times New Roman;Times;Serif" w:hAnsi="Times New Roman;Times;Serif"/>
                  <w:sz w:val="20"/>
                </w:rPr>
                <w:t>10.2</w:t>
              </w:r>
            </w:hyperlink>
          </w:p>
        </w:tc>
        <w:tc>
          <w:tcPr>
            <w:tcW w:w="60"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pPr>
            <w:hyperlink w:anchor="tm2622534d1_ex10-2.htm">
              <w:r>
                <w:rPr>
                  <w:rStyle w:val="InternetLink"/>
                  <w:rFonts w:ascii="Times New Roman;Times;Serif" w:hAnsi="Times New Roman;Times;Serif"/>
                  <w:sz w:val="20"/>
                </w:rPr>
                <w:t>Form of Lock-Up Agreement</w:t>
              </w:r>
            </w:hyperlink>
          </w:p>
        </w:tc>
      </w:tr>
      <w:tr>
        <w:trPr/>
        <w:tc>
          <w:tcPr>
            <w:tcW w:w="892" w:type="dxa"/>
            <w:tcBorders/>
            <w:vAlign w:val="center"/>
          </w:tcPr>
          <w:p>
            <w:pPr>
              <w:pStyle w:val="TableContents"/>
              <w:bidi w:val="0"/>
              <w:spacing w:before="0" w:after="283"/>
              <w:jc w:val="left"/>
              <w:rPr/>
            </w:pPr>
            <w:hyperlink w:anchor="tm2622534d1_ex5-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pPr>
            <w:hyperlink w:anchor="tm2622534d1_ex5-1.htm">
              <w:r>
                <w:rPr>
                  <w:rStyle w:val="InternetLink"/>
                  <w:rFonts w:ascii="Times New Roman;Times;Serif" w:hAnsi="Times New Roman;Times;Serif"/>
                  <w:sz w:val="20"/>
                </w:rPr>
                <w:t>Consent of Walkers (Hong Kong) (included in Exhibits 5.1 and 8.1)</w:t>
              </w:r>
            </w:hyperlink>
          </w:p>
        </w:tc>
      </w:tr>
      <w:tr>
        <w:trPr/>
        <w:tc>
          <w:tcPr>
            <w:tcW w:w="892" w:type="dxa"/>
            <w:tcBorders/>
            <w:vAlign w:val="center"/>
          </w:tcPr>
          <w:p>
            <w:pPr>
              <w:pStyle w:val="TableContents"/>
              <w:bidi w:val="0"/>
              <w:spacing w:before="0" w:after="283"/>
              <w:jc w:val="left"/>
              <w:rPr/>
            </w:pPr>
            <w:hyperlink w:anchor="tm2622534d1_ex99-1.htm">
              <w:r>
                <w:rPr>
                  <w:rStyle w:val="InternetLink"/>
                  <w:rFonts w:ascii="Times New Roman;Times;Serif" w:hAnsi="Times New Roman;Times;Serif"/>
                  <w:sz w:val="20"/>
                </w:rPr>
                <w:t>23.2</w:t>
              </w:r>
            </w:hyperlink>
          </w:p>
        </w:tc>
        <w:tc>
          <w:tcPr>
            <w:tcW w:w="60"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pPr>
            <w:hyperlink w:anchor="tm2622534d1_ex99-1.htm">
              <w:r>
                <w:rPr>
                  <w:rStyle w:val="InternetLink"/>
                  <w:rFonts w:ascii="Times New Roman;Times;Serif" w:hAnsi="Times New Roman;Times;Serif"/>
                  <w:sz w:val="20"/>
                </w:rPr>
                <w:t>Consent of Global Law Office (included in Exhibit 99.</w:t>
              </w:r>
            </w:hyperlink>
            <w:hyperlink w:anchor="tm2622534d1_ex99-1.htm">
              <w:r>
                <w:rPr>
                  <w:rStyle w:val="InternetLink"/>
                  <w:rFonts w:ascii="Times New Roman;Times;Serif" w:hAnsi="Times New Roman;Times;Serif"/>
                </w:rPr>
                <w:t>1</w:t>
              </w:r>
            </w:hyperlink>
            <w:hyperlink w:anchor="tm2622534d1_ex99-1.htm">
              <w:r>
                <w:rPr>
                  <w:rStyle w:val="InternetLink"/>
                </w:rPr>
                <w:t>)</w:t>
              </w:r>
            </w:hyperlink>
          </w:p>
        </w:tc>
      </w:tr>
      <w:tr>
        <w:trPr/>
        <w:tc>
          <w:tcPr>
            <w:tcW w:w="892" w:type="dxa"/>
            <w:tcBorders/>
            <w:vAlign w:val="center"/>
          </w:tcPr>
          <w:p>
            <w:pPr>
              <w:pStyle w:val="TableContents"/>
              <w:bidi w:val="0"/>
              <w:spacing w:before="0" w:after="283"/>
              <w:jc w:val="left"/>
              <w:rPr/>
            </w:pPr>
            <w:hyperlink w:anchor="tm2622534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pPr>
            <w:hyperlink w:anchor="tm2622534d1_ex99-1.htm">
              <w:r>
                <w:rPr>
                  <w:rStyle w:val="InternetLink"/>
                  <w:rFonts w:ascii="Times New Roman;Times;Serif" w:hAnsi="Times New Roman;Times;Serif"/>
                  <w:sz w:val="20"/>
                </w:rPr>
                <w:t>Opinion of Global Law Office, PRC counsel to the Company</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1.1, 5.1, 8.1, 8.2, 10.1, 10.2, 23.1 and 23.2 to this report on Form 6-K are hereby incorporated by reference into the registration statement of the Company on Form F-3 (File No. 333-292185) to the extent not superseded by documents or reports subsequently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75"/>
        <w:gridCol w:w="757"/>
        <w:gridCol w:w="114"/>
        <w:gridCol w:w="2687"/>
        <w:gridCol w:w="75"/>
      </w:tblGrid>
      <w:tr>
        <w:trPr/>
        <w:tc>
          <w:tcPr>
            <w:tcW w:w="75" w:type="dxa"/>
            <w:tcBorders/>
            <w:vAlign w:val="center"/>
          </w:tcPr>
          <w:p>
            <w:pPr>
              <w:pStyle w:val="TableContents"/>
              <w:bidi w:val="0"/>
              <w:spacing w:before="0" w:after="283"/>
              <w:jc w:val="left"/>
              <w:rPr/>
            </w:pPr>
            <w:r>
              <w:rPr/>
              <w:t> </w:t>
            </w:r>
          </w:p>
        </w:tc>
        <w:tc>
          <w:tcPr>
            <w:tcW w:w="3558" w:type="dxa"/>
            <w:gridSpan w:val="3"/>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58"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1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6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Shen Cao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1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6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Shen Cao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1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6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tm2622534d1_ex1-1.htm"/>
      <w:bookmarkStart w:id="3" w:name="kstm2622534d1_ex1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AGENCY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GROUP HOLDING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501-502, No. 78 East Jinshan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Huqiu District, Suzhou, Jiangsu 215011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People’s Republic of China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Xiaoyan Lu,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Ms. Lu: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letter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between Univest Securities, LLC, as the lead placement agent (“</w:t>
      </w:r>
      <w:r>
        <w:rPr>
          <w:rFonts w:ascii="Times New Roman;Times;Serif" w:hAnsi="Times New Roman;Times;Serif"/>
          <w:b/>
          <w:i w:val="false"/>
          <w:caps w:val="false"/>
          <w:smallCaps w:val="false"/>
          <w:sz w:val="20"/>
        </w:rPr>
        <w:t>Univest</w:t>
      </w:r>
      <w:r>
        <w:rPr>
          <w:rFonts w:ascii="Times New Roman;Times;Serif" w:hAnsi="Times New Roman;Times;Serif"/>
          <w:b w:val="false"/>
          <w:i w:val="false"/>
          <w:caps w:val="false"/>
          <w:smallCaps w:val="false"/>
          <w:sz w:val="20"/>
        </w:rPr>
        <w:t>”) (Univest is also referred to herein as the “</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and YXT.COM GROUP HOLDING LIMITED, an exempted company incorporated with limited liability under the laws of the Cayman Islands, whose ADSs are listed on the Nasdaq Global Market under the symbol “YXT”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parties hereby agree that the Placement Agent shall serve as the placement agent for the Company, on a “reasonable best efforts” basis, in connection with the proposed placement (the “</w:t>
      </w:r>
      <w:r>
        <w:rPr>
          <w:rFonts w:ascii="Times New Roman;Times;Serif" w:hAnsi="Times New Roman;Times;Serif"/>
          <w:b/>
          <w:i w:val="false"/>
          <w:caps w:val="false"/>
          <w:smallCaps w:val="false"/>
          <w:sz w:val="20"/>
        </w:rPr>
        <w:t>Placement</w:t>
      </w:r>
      <w:r>
        <w:rPr>
          <w:rFonts w:ascii="Times New Roman;Times;Serif" w:hAnsi="Times New Roman;Times;Serif"/>
          <w:b w:val="false"/>
          <w:i w:val="false"/>
          <w:caps w:val="false"/>
          <w:smallCaps w:val="false"/>
          <w:sz w:val="20"/>
        </w:rPr>
        <w:t>”) of up to $1,400,583 of registered securities of the Company, consisting of Class A ordinary shares, par value $0.0001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represented by American Depositary Shares (the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with each ADS representing 30 Ordinary Shares. The ADSs actually placed by the Placement Agent are referred to herein as the “</w:t>
      </w:r>
      <w:r>
        <w:rPr>
          <w:rFonts w:ascii="Times New Roman;Times;Serif" w:hAnsi="Times New Roman;Times;Serif"/>
          <w:b/>
          <w:i w:val="false"/>
          <w:caps w:val="false"/>
          <w:smallCaps w:val="false"/>
          <w:sz w:val="20"/>
        </w:rPr>
        <w:t>Placement Agent Securities</w:t>
      </w:r>
      <w:r>
        <w:rPr>
          <w:rFonts w:ascii="Times New Roman;Times;Serif" w:hAnsi="Times New Roman;Times;Serif"/>
          <w:b w:val="false"/>
          <w:i w:val="false"/>
          <w:caps w:val="false"/>
          <w:smallCaps w:val="false"/>
          <w:sz w:val="20"/>
        </w:rPr>
        <w:t>.” The Placement Agent Securities shall be offered and sold under the Company’s registration statement on Form F-3, as amended (File No. 333-292185), which was declared effective by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June 29, 2026. The documents executed and delivered by the Company and the Purchasers (as defined below) in connection with the Placement, including, without limitation,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shall be collectively referred to herein as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Placement shall be mutually agreed upon by the Company and the purchasers listed in the Purchase Agreement (each, a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and nothing herein constitutes that the Placement Agent would have the power or authority to bind the Company or any Purchaser, or an obligation for the Company to issue any Placement Agent Securities or complete the Placement. The Company expressly acknowledges and agrees that the Placement Agent’s obligations hereunder are on a reasonable best efforts basis only and that the execution of this Agreement does not constitute a commitment by the Placement Agent to purchase the Placement Agent Securities and does not ensure the successful placement of the Placement Agent Securities or any portion thereof or the success of the Placement Agent with respect to securing any other financing on behalf of the Company. The Placement Agent may retain other brokers or dealers to act as sub-agents or selected-dealers on its behalf in connection with the Placement. Certain affiliates of the Placement Agent may participate in the Placement by purchasing some of the Placement Agent Securities. The sale of Placement Agent Securities to any Purchaser will be evidenced by the Purchase Agreement between the Company and such Purchaser, in a form reasonably acceptable to the Company and the Purchaser. Capitalized terms that are not otherwise defined herein have the meanings given to such terms in the Purchase Agreement. Prior to the signing of any Purchase Agreement, officers of the Company with responsibility for financial affairs will be reasonably available to answer inquiries from prospective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REPRESENTATIONS AND WARRANTIES OF THE COMPANY; COVENANTS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Representations of the Company</w:t>
      </w:r>
      <w:r>
        <w:rPr>
          <w:rFonts w:ascii="Times New Roman;Times;Serif" w:hAnsi="Times New Roman;Times;Serif"/>
          <w:b w:val="false"/>
          <w:i w:val="false"/>
          <w:caps w:val="false"/>
          <w:smallCaps w:val="false"/>
          <w:sz w:val="20"/>
        </w:rPr>
        <w:t>. Each of the representations and warranties (together with any related disclosure schedules thereto) and covenants made by the Company to the Purchasers in the Purchase Agreement in connection with the Placement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has prepared and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registration statement on Form F-3 (File No. 333-292185) for the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of the Placement Agent Securities, which registration statement became effective on June 29, 2026. At the time of such filing, the Company met the requirements of Form F-3 under the Securities Act. Such registration statement meets the requirements set forth in Rule 415(a)(1)(x) under the Securities Act and complies with said Rule. The Company will file with the Commission pursuant to Rule 424(b) under the Securities Act, and the rules and regulations (the “</w:t>
      </w:r>
      <w:r>
        <w:rPr>
          <w:rFonts w:ascii="Times New Roman;Times;Serif" w:hAnsi="Times New Roman;Times;Serif"/>
          <w:b/>
          <w:i w:val="false"/>
          <w:caps w:val="false"/>
          <w:smallCaps w:val="false"/>
          <w:sz w:val="20"/>
        </w:rPr>
        <w:t>Rules and Regulations</w:t>
      </w:r>
      <w:r>
        <w:rPr>
          <w:rFonts w:ascii="Times New Roman;Times;Serif" w:hAnsi="Times New Roman;Times;Serif"/>
          <w:b w:val="false"/>
          <w:i w:val="false"/>
          <w:caps w:val="false"/>
          <w:smallCaps w:val="false"/>
          <w:sz w:val="20"/>
        </w:rPr>
        <w:t>”) of the Commission promulgated thereunder, a supplement to the form of prospectus included in such registration statement relating to the placement of the Placement Agent Securities and the plan of distribution thereof and has advised the Placement Agent of all further information (financial and other) with respect to the Company required to be set forth therein. Such registration statement, including the exhibits thereto, as amended at the date of this Agreement, is hereinafter called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such prospectus in the form in which it appears in the Registration Statement is hereinafter called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and the supplemented form of prospectus, in the form in which it will be filed with the Commission pursuant to Rule 424(b) (including the Base Prospectus as so supplemented) is hereinafter called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Any reference in this Agreement to the Registration Statement, the Base Prospectus or the Prospectus Supplement shall be deemed to refer to and include the documents incorporated by reference therein (the “</w:t>
      </w:r>
      <w:r>
        <w:rPr>
          <w:rFonts w:ascii="Times New Roman;Times;Serif" w:hAnsi="Times New Roman;Times;Serif"/>
          <w:b/>
          <w:i w:val="false"/>
          <w:caps w:val="false"/>
          <w:smallCaps w:val="false"/>
          <w:sz w:val="20"/>
        </w:rPr>
        <w:t>Incorporated Documents</w:t>
      </w:r>
      <w:r>
        <w:rPr>
          <w:rFonts w:ascii="Times New Roman;Times;Serif" w:hAnsi="Times New Roman;Times;Serif"/>
          <w:b w:val="false"/>
          <w:i w:val="false"/>
          <w:caps w:val="false"/>
          <w:smallCaps w:val="false"/>
          <w:sz w:val="20"/>
        </w:rPr>
        <w:t>”) pursuant to Item 6 of Form F-3 which were filed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on or before the date of this Agreement, or the issue date of the Base Prospectus or the Prospectus Supplement, as the case may be; and any reference in this Agreement to the terms “amend,” “amendment” or “supplement” with respect to the Registration Statement, the Base Prospectus or the Prospectus Supplement shall be deemed to refer to and include the filing of any document under the Exchange Act after the date of this Agreement, or the issue date of the Base Prospectus or the Prospectus Supplement, as the case may be, deemed to be incorporated therein by reference. All references in this Agreement to financial statements and schedules and other information which is “contained,” “included,” “described,” “referenced,” “set forth” or “stated” in the Registration Statement, the Base Prospectus or the Prospectus Supplement (and all other references of like import) shall be deemed to mean and include all such financial statements and schedules and other information which is or is deemed to be incorporated by reference in the Registration Statement, the Base Prospectus or the Prospectus Supplement, as the case may be. No stop order suspending the effectiveness of the Registration Statement or the use of the Base Prospectus or the Prospectus Supplement has been issued, and no proceeding for any such purpose is pending or has been initiated or, to the Company’s knowledge, is threatened by the Commission. For purposes of this Agreement,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has the meaning set forth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Registration Statement (and any further documents to be filed with the Commission) contains all exhibits and schedules as required by the Securities Act. Each of the Registration Statement and any post-effective amendment thereto, at the time it became effective, complied in all material respects with the Securities Act and the Exchange Act and the applicable Rules and Regulations and did not and, as amended or supplemented, if applicable, will not, contain any untrue statement of a material fact or omit to state a material fact required to be stated therein or necessary to make the statements therein not misleading. The Base Prospectus and the Prospectus Supplement, each as of its respective date, complied or will comply in all material respects with the Securities Act and the Exchange Act and the applicable Rules and Regulations. Each of the Base Prospectus, and the Prospectus Supplement, as amended or supplemented, did not and will not contain as of the date thereof any untrue statement of a material fact or omit to state a material fact necessary in order to make the statements therein, in the light of the circumstances under which they were made, not misleading. The Incorporated Documents, when they were filed with the Commission, conformed in all material respects to the requirements of the Exchange Act and the applicable Rules and Regulations, and none of such documents, when they were filed with the Commission, contained any untrue statement of a material fact or omitted to state a material fact necessary to make the statements therein (with respect to Incorporated Documents incorporated by reference in the Base Prospectus or Prospectus Supplement), in the light of the circumstances under which they were made not misleading; and any further documents so filed and incorporated by reference in the Base Prospectus, or Prospectus Supplement,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the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Except for this Agreement and the Transaction Documents,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Base Prospectus, or Prospectus Supplement, or to be filed as exhibits or schedules to the Registration Statement, which (x) have not been described or filed as required or (y) will not be filed within the requisite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is eligible to use Free Writing Prospectuses in connection with the Placement pursuant to Rules 164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behalf of or used by the Company complies or will comply in all material respects with the requirements of the Securities Act and the applicable rules and regulations of the Commission thereunder. The Company will not, without the prior consent of the Placement Agent, prepare, use or refer to, any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has filed all reports, schedules, forms, statements or other documents required to be filed by the Company under the Securities Act or Exchange Act, during the three years preceding the date hereof (or such shorter period as the Company was required by law or regulation to file such material) (the foregoing materials, including the exhibits thereto and documents incorporated by reference therein, the “</w:t>
      </w:r>
      <w:r>
        <w:rPr>
          <w:rFonts w:ascii="Times New Roman;Times;Serif" w:hAnsi="Times New Roman;Times;Serif"/>
          <w:b/>
          <w:i w:val="false"/>
          <w:caps w:val="false"/>
          <w:smallCaps w:val="false"/>
          <w:sz w:val="20"/>
        </w:rPr>
        <w:t>SEC Reports</w:t>
      </w:r>
      <w:r>
        <w:rPr>
          <w:rFonts w:ascii="Times New Roman;Times;Serif" w:hAnsi="Times New Roman;Times;Serif"/>
          <w:b w:val="false"/>
          <w:i w:val="false"/>
          <w:caps w:val="false"/>
          <w:smallCaps w:val="false"/>
          <w:sz w:val="20"/>
        </w:rPr>
        <w:t>”). For the twelve months preceding the date hereof, the Company has filed the SEC Reports on a timely basis (including any valid extension of such time of filing provided under Rule 12b-5 or under coronavirus-related relief by the SEC) and has filed any such SEC Reports prior to the expiration of any such extension. As of their respective filing or amendment dates, the SEC Reports complied in all material respects with the requirements of the Exchange Act and the rules and regulations of the Commission promulgated thereunder; and as of their respective filing or amendment dates, the SEC Reports did not contain any untrue statement of a material fact or omit to state any material fact necessary in order to make the statements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There are no affiliations with any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member firm among the Company’s officers, directors or, to the knowledge of the Company, any ten percent (10%) or greater shareholder of the Company, except as set forth in the Registration Statement and the SEC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has delivered or made available, or will as promptly as practicable deliver or make available, to the Placement Agent complete conformed copies of the Registration Statement and of each consent and certificate of experts, as applicable, filed as a part thereof, and conformed copies of the Registration Statement (without exhibits), the Base Prospectus, and the Prospectus Supplement, as amended or supplemented, in such quantities and at such places as the Placement Agent reasonably requests. Neither the Company nor any of its directors and officers has distributed and none of them will distribute, prior to the Closing Date, any offering material in connection with the offering and sale of the Placement Agent Securities pursuant to the Placements other than the Transaction Documents, the Base Prospectus, the Prospectus Supplement, the Registration Statement, copies of the documents incorporated by reference therein and any other materials permitted by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will advise the Placement Agent promptly after it receives notice thereof of the time when any amendment to the Registration Statement has been filed or becomes effective or any supplement to the Base Prospectus or the Prospectus Supplement has been filed and will furnish the Placement Agent with copies thereof, the parties acknowledging that such obligation is satisfied by filing such materials on the EDGAR system of the SEC. The Company will file promptly all reports and any definitive proxy or information statements required to be filed by the Company with the Commission pursuant to Section 13(a), 14 or 15(d) of the Exchange Act subsequent to the date of the Prospectus Supplement and for so long as the delivery of a prospectus is required in connection with the Placement. The Company will advise the Placement Agent, promptly after it receives notice thereof (i) of any request by the Commission to amend the Registration Statement or to amend or supplement any Prospectus or for additional information, and (ii) of the issuance by the Commission of any stop order suspending the effectiveness of the Registration Statement or any post-effective amendment thereto or any order directed at any Incorporated Document, if any, or any amendment or supplement thereto or any order preventing or suspending the use of the Base Prospectus or the final Prospectus or any prospectus supplement or any amendment or supplement thereto or any post-effective amendment to the Registration Statement, of the suspension of the qualification of any of the Placement Agent Securities for offering or sale in any jurisdiction, of the institution or threatened institution of any proceeding for any such purpose, or of any request by the Commission for the amending or supplementing of the Registration Statement or a Prospectus or for additional information. The Company shall use its best efforts to prevent the issuance of any such stop order or prevention or suspension of such use. If the Commission shall enter any such stop order or order or notice of prevention or suspension at any time, the Company will use its best efforts to obtain the lifting of such order at the earliest possible moment, or will file a new registration statement and use its best efforts to have such new registration statement declared effective as soon as practicable. Additionally, the Company agrees that it shall comply with the provisions of Rules 424(b), 430A, 430B and 430C, as applicable, under the Securities Act, including with respect to the timely filing of documents thereunder, and will use its best efforts to confirm that any filings made by the Company under such Rule 424(b) are received in a timely manner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will cooperate with the Placement Agent and the Purchasers in endeavoring to qualify the Placement Agent Securities for sale under the securities laws of such jurisdictions (United States and foreign) as the Placement Agent and the Purchasers may reasonably request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and provided further that the Company shall not be required to produce any new disclosure document. The Company will, from time to time, prepare and file such statements, reports and other documents as are or may be required to continue such qualifications in effect for so long a period as the Placement Agent may reasonably request for distribution of the Placement Agent Securities. The Company will advise the Placement Agent promptly of the suspension of the qualification or registration of (or any such exemption relating to) the Placement Agent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will comply with the Securities Act and the Exchange Act, and the rules and regulations of the Commission thereunder, so as to permit the completion of the distribution of the Placement Agent Securities as contemplated in this Agreement, the Incorporated Documents and any Prospectus. If during the period in which a prospectus is required by law to be delivered in connection with the distribution of any Securities contemplated by the Incorporated Documents or any Prospectus (the “</w:t>
      </w:r>
      <w:r>
        <w:rPr>
          <w:rFonts w:ascii="Times New Roman;Times;Serif" w:hAnsi="Times New Roman;Times;Serif"/>
          <w:b/>
          <w:i w:val="false"/>
          <w:caps w:val="false"/>
          <w:smallCaps w:val="false"/>
          <w:sz w:val="20"/>
        </w:rPr>
        <w:t>Prospectus Delivery Period</w:t>
      </w:r>
      <w:r>
        <w:rPr>
          <w:rFonts w:ascii="Times New Roman;Times;Serif" w:hAnsi="Times New Roman;Times;Serif"/>
          <w:b w:val="false"/>
          <w:i w:val="false"/>
          <w:caps w:val="false"/>
          <w:smallCaps w:val="false"/>
          <w:sz w:val="20"/>
        </w:rPr>
        <w:t>”), any event shall occur as a result of which, in the judgment of the Company or in the opinion of the Placement Agent or counsel for the Placement Agent, it becomes necessary to amend or supplement the Incorporated Documents or any Prospectus in order to make the statements therein, in the light of the circumstances under which they were made, as the case may be, not misleading, or if it is necessary at any time to amend or supplement the Incorporated Documents or any Prospectus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any Prospectus that is necessary in order to make the statements in the Incorporated Documents and any Prospectus as so amended or supplemented, in the light of the circumstances under which they were made, as the case may be, not misleading, or so that the Registration Statement, the Incorporated Documents or any Prospectus, as so amended or supplemented, will comply with law. Before amending the Registration Statement or supplementing the Incorporated Documents or any Prospectus in connection with the Placement, the Company will furnish the Placement Agent with a copy of such proposed amendment or supplement and will not file any such amendment or supplement to which the Placement Agent reasonably objects.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During the Prospectus Delivery Period, the Company will duly file, on a timely basis, with the Commission and the Trading Market all reports and documents required to be filed under the Exchange Act within the time periods and in the manner required by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Company will not take, directly or indirectly, any action designed to cause or result in, or that has constituted or might reasonably be expected to constitute, the stabilization or manipulation of the price of any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any of the conditions specified in this Section 1(B) shall not have been fulfilled when and as provided in this Agreement, or if any of the opinions and certificates mentioned above or elsewhere in this Agreement shall not be reasonably satisfactory in form and substance to the Placement Agent and its counsel, this Agreement and all obligations of the Placement Agent hereunder may be canceled at, or at any time prior to, the Closing Date by the Placement Agent. Notice of such cancellation shall be given to the Company in writing or by telephone or facsimile confirmed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REPRESENTATIONS OF THE PLACEMENT AGENT</w:t>
      </w:r>
      <w:r>
        <w:rPr>
          <w:rFonts w:ascii="Times New Roman;Times;Serif" w:hAnsi="Times New Roman;Times;Serif"/>
          <w:b w:val="false"/>
          <w:i w:val="false"/>
          <w:caps w:val="false"/>
          <w:smallCaps w:val="false"/>
          <w:sz w:val="20"/>
        </w:rPr>
        <w:t>. The Placement Agent represents and warrants that it (i) is a member in good standing of FINRA, (ii) is registered as a broker/dealer under the Exchange Act, (iii) is licensed as a broker/dealer under the laws of the States applicable to the offers and sales of the Placement Agent Securities by the Placement Agent, (iv) is and will be a corporate entity validly existing under the laws of its place of formation, and (v) has full power and authority to enter into and perform its obligations under this Agreement. The Placement Agent will immediately notify the Company in writing of any change in its status as such. The Placement Agent covenants that it will use its reasonable best efforts to conduct the Placement hereunder in compliance with the provisions of this Agreement and the requirements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COMPENSATION; OTHER ARRANGEMENTS</w:t>
      </w:r>
      <w:r>
        <w:rPr>
          <w:rFonts w:ascii="Times New Roman;Times;Serif" w:hAnsi="Times New Roman;Times;Serif"/>
          <w:b w:val="false"/>
          <w:i w:val="false"/>
          <w:caps w:val="false"/>
          <w:smallCaps w:val="false"/>
          <w:sz w:val="20"/>
        </w:rPr>
        <w:t>. In consideration of the services to be provided for hereunder by the Placement Agent, the Company shall pay to the Placement Agent the following compensation with respect to the Placement Agent Securities which the Placement Agent is placing: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cash fee (the “</w:t>
      </w:r>
      <w:r>
        <w:rPr>
          <w:rFonts w:ascii="Times New Roman;Times;Serif" w:hAnsi="Times New Roman;Times;Serif"/>
          <w:b/>
          <w:i w:val="false"/>
          <w:caps w:val="false"/>
          <w:smallCaps w:val="false"/>
          <w:sz w:val="20"/>
        </w:rPr>
        <w:t>Cash Fee</w:t>
      </w:r>
      <w:r>
        <w:rPr>
          <w:rFonts w:ascii="Times New Roman;Times;Serif" w:hAnsi="Times New Roman;Times;Serif"/>
          <w:b w:val="false"/>
          <w:i w:val="false"/>
          <w:caps w:val="false"/>
          <w:smallCaps w:val="false"/>
          <w:sz w:val="20"/>
        </w:rPr>
        <w:t>”) equal to seven percent (7.0%) of the aggregate gross proceeds raised in the Placement. The Cash Fee shall be paid at the closing of the Placement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Notwithstanding the foregoing, if any investors sourced directly by the Company (the “</w:t>
      </w:r>
      <w:r>
        <w:rPr>
          <w:rFonts w:ascii="Times New Roman;Times;Serif" w:hAnsi="Times New Roman;Times;Serif"/>
          <w:b/>
          <w:i w:val="false"/>
          <w:caps w:val="false"/>
          <w:smallCaps w:val="false"/>
          <w:sz w:val="20"/>
        </w:rPr>
        <w:t>Pre-Existing Investors</w:t>
      </w:r>
      <w:r>
        <w:rPr>
          <w:rFonts w:ascii="Times New Roman;Times;Serif" w:hAnsi="Times New Roman;Times;Serif"/>
          <w:b w:val="false"/>
          <w:i w:val="false"/>
          <w:caps w:val="false"/>
          <w:smallCaps w:val="false"/>
          <w:sz w:val="20"/>
        </w:rPr>
        <w:t>”) participate in the Placement, no Cash Fee shall be payable with respect to the aggregate gross proceeds raised from such Pre-Existing Investors. “</w:t>
      </w:r>
      <w:r>
        <w:rPr>
          <w:rFonts w:ascii="Times New Roman;Times;Serif" w:hAnsi="Times New Roman;Times;Serif"/>
          <w:b/>
          <w:i w:val="false"/>
          <w:caps w:val="false"/>
          <w:smallCaps w:val="false"/>
          <w:sz w:val="20"/>
        </w:rPr>
        <w:t>Pre-Existing Investors</w:t>
      </w:r>
      <w:r>
        <w:rPr>
          <w:rFonts w:ascii="Times New Roman;Times;Serif" w:hAnsi="Times New Roman;Times;Serif"/>
          <w:b w:val="false"/>
          <w:i w:val="false"/>
          <w:caps w:val="false"/>
          <w:smallCaps w:val="false"/>
          <w:sz w:val="20"/>
        </w:rPr>
        <w:t>” shall mean any investor that satisfies any of the following criteria: (i) a shareholder of record holding ordinary shares of the Company as of the date hereof; (ii) an investor that is directly and proactively sourced by the Company’s management (excluding any sourcing through the Placement Agent’s roadshow, or other form of marketing efforts), provided that the Company has provided a written list of such prospective investor to the Placement Agent prior to any substantive solicitation or contact; and (iii) any director, officer, general partner, managing member, or entity controlled by or under common control of any of the foregoing persons of an investor described in (i) or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compliance with FINRA Rule 5110(f)(2)(D), the Company also agrees to reimburse the Placement Agent for all reasonable travel and other out-of-pocket expenses, including the reasonable fees, costs and disbursements of its legal counsel, in an amount not to exceed an aggregate of $100,000. The Company will reimburse the Placement Agent directly as soon as applicable once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Placement Agent reserves the right to reduce any item of its compensation or adjust (in the Company’s favor) the terms thereof as specified herein in the event that a determination shall be made by FINRA to the effect that the Placement Agent’s aggregate compensation is in excess of FINRA’s rules and regulations or that the terms thereof require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Company agrees to the indemnification and other agreements set forth in the Indemnification Provisions (the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xml:space="preserve">”) attached hereto as </w:t>
      </w:r>
      <w:r>
        <w:rPr>
          <w:rFonts w:ascii="Times New Roman;Times;Serif" w:hAnsi="Times New Roman;Times;Serif"/>
          <w:b w:val="false"/>
          <w:i w:val="false"/>
          <w:caps w:val="false"/>
          <w:smallCaps w:val="false"/>
          <w:sz w:val="20"/>
          <w:u w:val="single"/>
        </w:rPr>
        <w:t>Addendum A</w:t>
      </w:r>
      <w:r>
        <w:rPr>
          <w:rFonts w:ascii="Times New Roman;Times;Serif" w:hAnsi="Times New Roman;Times;Serif"/>
          <w:b w:val="false"/>
          <w:i w:val="false"/>
          <w:caps w:val="false"/>
          <w:smallCaps w:val="false"/>
          <w:sz w:val="20"/>
        </w:rPr>
        <w:t>, the provisions of which are incorporated herein by reference and shall survive the termination or expiration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ENGAGEMENT TERM</w:t>
      </w:r>
      <w:r>
        <w:rPr>
          <w:rFonts w:ascii="Times New Roman;Times;Serif" w:hAnsi="Times New Roman;Times;Serif"/>
          <w:b w:val="false"/>
          <w:i w:val="false"/>
          <w:caps w:val="false"/>
          <w:smallCaps w:val="false"/>
          <w:sz w:val="20"/>
        </w:rPr>
        <w:t>. The Placement Agent’s engagement hereunder shall be until the final Closing Date of the Placement (such date,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and the period of time during which this Agreement remains in effect is referred to herein as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xml:space="preserve">”). Notwithstanding anything to the contrary contained herein, the provisions concerning the Company’s obligation to pay any fees actually earned pursuant to Section 3 hereof and the provisions concerning confidentiality, indemnification and contribution contained herein and the Company’s obligations contained in the Indemnification Provisions attached hereto as </w:t>
      </w:r>
      <w:r>
        <w:rPr>
          <w:rFonts w:ascii="Times New Roman;Times;Serif" w:hAnsi="Times New Roman;Times;Serif"/>
          <w:b w:val="false"/>
          <w:i w:val="false"/>
          <w:caps w:val="false"/>
          <w:smallCaps w:val="false"/>
          <w:sz w:val="20"/>
          <w:u w:val="single"/>
        </w:rPr>
        <w:t>Addendum A</w:t>
      </w:r>
      <w:r>
        <w:rPr>
          <w:rFonts w:ascii="Times New Roman;Times;Serif" w:hAnsi="Times New Roman;Times;Serif"/>
          <w:b w:val="false"/>
          <w:i w:val="false"/>
          <w:caps w:val="false"/>
          <w:smallCaps w:val="false"/>
          <w:sz w:val="20"/>
        </w:rPr>
        <w:t xml:space="preserve"> will survive any expiration or termination of this Agreement. If this Agreement is terminated prior to the completion of the Placement, all fees and expense reimbursements due to the Placement Agent shall be paid by the Company to the Placement Agent on or before the Termination Date (in the event such fees are earned or owed as of the Termination Date). The Placement Agent agrees not to use any confidential information concerning the Company provided to the Placement Agent by the Company for any purposes other than those contemplated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PLACEMENT AGENT’S INFORMATION</w:t>
      </w:r>
      <w:r>
        <w:rPr>
          <w:rFonts w:ascii="Times New Roman;Times;Serif" w:hAnsi="Times New Roman;Times;Serif"/>
          <w:b w:val="false"/>
          <w:i w:val="false"/>
          <w:caps w:val="false"/>
          <w:smallCaps w:val="false"/>
          <w:sz w:val="20"/>
        </w:rPr>
        <w:t>. The Company agrees that any information or advice rendered by the Placement Agent in connection with this engagement is for the confidential use of the Company only in its evaluation of the Placement and, except as otherwise required by law, the Company will not disclose or otherwise refer to the advice or information in any manner without the Placement Agent’s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NO FIDUCIARY RELATIONSHIP</w:t>
      </w:r>
      <w:r>
        <w:rPr>
          <w:rFonts w:ascii="Times New Roman;Times;Serif" w:hAnsi="Times New Roman;Times;Serif"/>
          <w:b w:val="false"/>
          <w:i w:val="false"/>
          <w:caps w:val="false"/>
          <w:smallCaps w:val="false"/>
          <w:sz w:val="20"/>
        </w:rPr>
        <w:t xml:space="preserve">. This Agreement does not create, and shall not be construed as creating rights enforceable by any person or entity not a party hereto, except those entitled hereto by virtue of the Indemnification Provisions attached hereto as </w:t>
      </w:r>
      <w:r>
        <w:rPr>
          <w:rFonts w:ascii="Times New Roman;Times;Serif" w:hAnsi="Times New Roman;Times;Serif"/>
          <w:b w:val="false"/>
          <w:i w:val="false"/>
          <w:caps w:val="false"/>
          <w:smallCaps w:val="false"/>
          <w:sz w:val="20"/>
          <w:u w:val="single"/>
        </w:rPr>
        <w:t>Addendum A</w:t>
      </w:r>
      <w:r>
        <w:rPr>
          <w:rFonts w:ascii="Times New Roman;Times;Serif" w:hAnsi="Times New Roman;Times;Serif"/>
          <w:b w:val="false"/>
          <w:i w:val="false"/>
          <w:caps w:val="false"/>
          <w:smallCaps w:val="false"/>
          <w:sz w:val="20"/>
        </w:rPr>
        <w:t xml:space="preserve"> hereof. The Company acknowledges and agrees that the Placement Agent is not nor shall it be construed as a fiduciary of the Company and the Placement Agent shall not have any duties or liabilities to the equity holders or the creditors of the Company or any other person by virtue of this Agreement or the retention of the Placement Agent hereunder, all of which are hereby expressly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obligations of the Placement Agent, and the Closing of the sale of the Placement Agent Securities hereunder are subject to the accuracy, when made and on the Closing Date, of the representations and warranties on the part of the Company contained herein and in the Purchase Agreement, to the accuracy of the statements of the Company made in any certificates pursuant to the provisions hereof, to the performance by the Company of their obligations hereunder, and to each of the following additional terms and conditions, except as otherwise disclosed to and acknowledged and waived by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stop order suspending the effectiveness of the Registration Statement shall have been issued and no proceedings for that purpose shall have been initiated or threatened by the Commission, and any request for additional information on the part of the Commission (to be included in the Registration Statement, the Base Prospectus, the Prospectus Supplement or otherwise) shall have been complied with to the reasonable satisfaction of the Placement Agent. Any filings required to be made by the Company in connection with the Placement shall have been timely filed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Placement Agent shall not have discovered and disclosed to the Company on or prior to the Closing Date that the Registration Statement, the Base Prospectus, the Prospectus Supplement or any amendment or supplement thereto contains an untrue statement of a fact which, in the opinion of counsel for the Placement Agent, is material or omits to state any fact which, in the opinion of such counsel, is material and is required to be stated therein or is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corporate proceedings and other legal matters incident to the authorization, form, execution, delivery and validity of each of this Agreement, the other Transaction Documents, the Placement Agent Securities, the Registration Statement, the Base Prospectus and the Prospectus Supplement and all other legal matters relating to this Agreement and the transactions contemplated hereby and thereby shall be reasonably satisfactory in all material respects to counsel for the Placement Agent and the Company shall have furnished to such counsel all documents and information that they may reasonably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Placement Agent shall have completed its due diligence investigation of the Company to the satisfaction of the Placement Agent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Placement Agent shall have received from outside counsels to the Company such counsels’ written opinions, addressed to the Placement Agent and the Purchasers and dated as of the Closing Date, in form and substance reasonably satisfactory to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On the date of this Agreement and on the Closing Date, the Placement Agent shall have received a certificate of the chief financial officer of the Company, as of each such date, addressed to the Placement Agent and in form and substance satisfactory in all respects to the Placement Agent, providing a customary certification as to such accounting or financial matters that are included or incorporated by reference in the Registration Statement or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On the Closing Date, Placement Agent shall have received a certificate signed by the chief executive officer of the Company, dated, as applicable, as of the date of such Closing, to the effect that, as of the date of this Agreement and as of the Closing Date, the representations and warranties of the Company contained herein and in the Purchase Agreement were and are accurate in all material respects, except for such changes as are contemplated by this Agreement and except as to representations and warranties that were expressly limited to a state of facts existing at a time prior to the applicable Closing Date, and that, as of the applicable date, the obligations to be performed by the Company hereunder on or prior thereto have been fully performed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On the Closing Date, Placement Agent shall have received from the Company a certificate of the corporate secretary of the Company, dated, as applicable, as of the date of such Closing, certifying to the organizational documents of the Company, good standing in the jurisdiction of formation of the Company and board resolutions authorizing the Placement of the Placement Agent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(i) shall not have sustained since the date of the latest audited financial statements included or incorporated by reference in the Registration Statement, the Base Prospectus and the Prospectus Supplement, any loss or interference with its business as a result of any fire, explosion, flood, terrorist act, epidemic or pandemic (including as a result of the coronavirus known as COVID-19), any change in general economic, political or financial conditions in the United States or elsewhere, act of war or other calamity, whether or not covered by insurance, or from any labor dispute or court or governmental action, order or decree, otherwise than as set forth in or contemplated by the Registration Statement, the Base Prospectus and the Prospectus Supplement, and (ii) since such date there shall not have been any change in the capital stock, except for reverse stock splits, ADS ratio changes or long-term debt of the Company or any change, or any development involving a prospective change, in or affecting the business, general affairs, management, financial position, shareholders’ equity, results of operations or prospects of the Company, otherwise than as set forth in or contemplated by the Registration Statement, the Base Prospectus and the Prospectus Supplement, the effect of which, in any such case described in clause (i) or (ii), is, in the judgment of the Placement Agent, so material and adverse as to make it impracticable or inadvisable to proceed with the sale or delivery of the Placement Agent Securities on the terms and in the manner contemplated by the Base Prospectus, the Prospectus Supplement and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ADSs are registered under Section 12(b) of the Exchange Act and are listed on the Nasdaq Global Market under the symbol “YXT” and, as of the Closing Date, the Company has submitted the notification of listing of additional ADSs, including the Placement Agent Securities, with The Nasdaq Stock Market LLC, and the Placement Agent Securities shall be listed for trading on the Nasdaq Global Market and reasonable evidence of such action, if available, shall have been provided to the Placement Agent. The Company shall have taken no action designed to terminate, or likely to have the effect of, terminating the registration of the ADSs under the Exchange Act or delisting or suspending the ADSs from trading on the Nasdaq Global Market, nor has the Company received any information suggesting that the Commission or the Nasdaq Global Market is contemplating terminating such registration or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action shall have been taken and no statute, rule, regulation or order shall have been enacted, adopted or issued by any governmental agency or body which would, as of the Closing Date, prevent the issuance or sale of the Placement Agent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Placement Agent Securities or materially and adversely affect or potentially and adversely affect the business or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have prepared and filed with the Commission a Current Report on Form 6-K with respect to the Placement, including as an exhibit thereto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shall have entered into a Purchase Agreement with each of the Purchasers and such agreements shall be in full force and effect and shall contain representations, warranties and covenants of the Company as agreed between the Company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5110 with respect to the Placement and pay all filing fees required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shall apply the net proceeds from the Placement received by it in a manner consistent with the application thereof described under the caption or heading “Use of Proceeds” in the Registration Statement, the Base Prospectus, the Prospectus Supplement and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Prior to the Closing Date, the Company shall have furnished to the Placement Agent such further information, certificates and documents as the Placement Agent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8 shall not have been fulfilled when and as required by this Agreement, or if any of the certificates, opinions, written statements or letters furnished to the Placement Agent or to Placement Agent’s counsel pursuant to this Section 8 shall not be reasonably satisfactory in form and substance to the Placement Agent and to Placement Agent’s counsel, all obligations of the Placement Agent hereunder may be cancelled by the Placement Agent at, or at any time prior to, the consummation of the Closing. Notice of such cancellation shall be given to the Company in writing or orally. Any such oral notice shall be confirmed promptly thereafter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TAIL FINANCING.</w:t>
      </w:r>
      <w:r>
        <w:rPr>
          <w:rFonts w:ascii="Times New Roman;Times;Serif" w:hAnsi="Times New Roman;Times;Serif"/>
          <w:b w:val="false"/>
          <w:i w:val="false"/>
          <w:caps w:val="false"/>
          <w:smallCaps w:val="false"/>
          <w:sz w:val="20"/>
        </w:rPr>
        <w:t xml:space="preserve"> The Company and Univest agree that for a period of twelve (12) months from the date hereof, Univest shall be entitled to compensation commensurate with those set forth under Sections 3, from the sale of any equity, debt and/or equity derivative instruments to any investor actually introduced by Univest to the Company during the period between the date of this Agreement and the closing of the Offering (each, a “</w:t>
      </w:r>
      <w:r>
        <w:rPr>
          <w:rFonts w:ascii="Times New Roman;Times;Serif" w:hAnsi="Times New Roman;Times;Serif"/>
          <w:b/>
          <w:i w:val="false"/>
          <w:caps w:val="false"/>
          <w:smallCaps w:val="false"/>
          <w:sz w:val="20"/>
        </w:rPr>
        <w:t>Tail Financing</w:t>
      </w:r>
      <w:r>
        <w:rPr>
          <w:rFonts w:ascii="Times New Roman;Times;Serif" w:hAnsi="Times New Roman;Times;Serif"/>
          <w:b w:val="false"/>
          <w:i w:val="false"/>
          <w:caps w:val="false"/>
          <w:smallCaps w:val="false"/>
          <w:sz w:val="20"/>
        </w:rPr>
        <w:t>”), and such Tail Financing is consummated at any time within the three (3) month period from the closing date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will be governed by, and construed in accordance with, the laws of the State of New York applicable to agreements made and to be performed entirely in such State.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a Transaction Document, then the prevailing party in such action or proceeding shall be reimbursed by the other party for its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ENTIRE AGREEMENT/MISC</w:t>
      </w:r>
      <w:r>
        <w:rPr>
          <w:rFonts w:ascii="Times New Roman;Times;Serif" w:hAnsi="Times New Roman;Times;Serif"/>
          <w:b w:val="false"/>
          <w:i w:val="false"/>
          <w:caps w:val="false"/>
          <w:smallCaps w:val="false"/>
          <w:sz w:val="20"/>
        </w:rPr>
        <w:t xml:space="preserve">. This Agreement (including the Indemnification Provisions attached hereto as </w:t>
      </w:r>
      <w:r>
        <w:rPr>
          <w:rFonts w:ascii="Times New Roman;Times;Serif" w:hAnsi="Times New Roman;Times;Serif"/>
          <w:b w:val="false"/>
          <w:i w:val="false"/>
          <w:caps w:val="false"/>
          <w:smallCaps w:val="false"/>
          <w:sz w:val="20"/>
          <w:u w:val="single"/>
        </w:rPr>
        <w:t>Addendum A</w:t>
      </w:r>
      <w:r>
        <w:rPr>
          <w:rFonts w:ascii="Times New Roman;Times;Serif" w:hAnsi="Times New Roman;Times;Serif"/>
          <w:b w:val="false"/>
          <w:i w:val="false"/>
          <w:caps w:val="false"/>
          <w:smallCaps w:val="false"/>
          <w:sz w:val="20"/>
        </w:rPr>
        <w:t>) embodies the entire agreement and understanding between the parties hereto with respect to this Placement,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the Placement Agent and the Company. The representations, warranties, agreements and covenants contained herein shall survive the Closing of the Placement and delivery of the Placement Agent Securities. This Agreement may be executed in two or more counterparts, all of which when taken together shall be considered one and the same agreement and shall become effective when counterparts have been signed by each party hereto and delivered to the other party hereto, it being understood that both parties hereto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The Placement Agent (i) will keep the Confidential Information (as such term is defined below) confidential and will not (except as required by applicable law or Trading Market or other stock exchange requirement, regulation or legal process (“</w:t>
      </w:r>
      <w:r>
        <w:rPr>
          <w:rFonts w:ascii="Times New Roman;Times;Serif" w:hAnsi="Times New Roman;Times;Serif"/>
          <w:b/>
          <w:i w:val="false"/>
          <w:caps w:val="false"/>
          <w:smallCaps w:val="false"/>
          <w:sz w:val="20"/>
        </w:rPr>
        <w:t>Legal Requirement</w:t>
      </w:r>
      <w:r>
        <w:rPr>
          <w:rFonts w:ascii="Times New Roman;Times;Serif" w:hAnsi="Times New Roman;Times;Serif"/>
          <w:b w:val="false"/>
          <w:i w:val="false"/>
          <w:caps w:val="false"/>
          <w:smallCaps w:val="false"/>
          <w:sz w:val="20"/>
        </w:rPr>
        <w:t>”)), without the Company’s prior written consent, disclose to any person any Confidential Information, and (ii) will not use any Confidential Information other than in connection with the Placement. The Placement Agent further agrees to disclose the Confidential Information only to its Representatives (as such term is defined below) who need to know the Confidential Information for the purpose of the Placement, and who are informed by the Placement Agent of the confidential nature of the Confidential Information. The term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shall mean, all confidential, proprietary and non-public information (whether written, oral or electronic communications) furnished by the Company to the Placement Agent or its Representatives in connection with such Placement Agent’s evaluation of the Placement. The term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will not, however, include information which (i) is or becomes publicly available other than as a result of a disclosure by the Placement Agent or its Representatives in violation of this Agreement, (ii) is or becomes available to the Placement Agent or any of its Representatives on a non-confidential basis from a third-party, (iii) is known to the Placement Agent or any of its Representatives prior to disclosure by the Company or any of its Representatives, or (iv) is or has been independently developed by the Placement Agent and/or the Representatives without use of any Confidential Information furnished to it by the Company. The term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shall mean with respect to the Placement Agent, its directors, board committees, officers, employees, financial advisors, attorneys and accountants. This provision shall be in full force until the earlier of (a) the date on which the Confidential Information ceases to be confidential and (b) two years from the date hereof. Notwithstanding any of the foregoing, in the event that the Placement Agent or any of its Representatives are required by Legal Requirement to disclose any of the Confidential Information, the Placement Agent and its Representatives will furnish only that portion of the Confidential Information which the Placement Agent or its Representative, as applicable, is required to disclose by Legal Requirement as advised by counsel, and will use reasonable efforts to obtain reliable assurance that confidential treatment will be accorded the Confidential Information so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PRESS ANNOUNCEMENTS</w:t>
      </w:r>
      <w:r>
        <w:rPr>
          <w:rFonts w:ascii="Times New Roman;Times;Serif" w:hAnsi="Times New Roman;Times;Serif"/>
          <w:b w:val="false"/>
          <w:i w:val="false"/>
          <w:caps w:val="false"/>
          <w:smallCaps w:val="false"/>
          <w:sz w:val="20"/>
        </w:rPr>
        <w:t>. The Company agrees that the Placement Agent shall, from and after any Closing,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our agreement by signing and returning to Univest the enclosed copy of this Agreement.</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320"/>
        <w:gridCol w:w="3635"/>
      </w:tblGrid>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UNIVEST SECURITIES, LLC</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Edric Yi Guo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Edric Yi Guo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CEO and Head of Investment Banking</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Rockefeller Plaza #25A</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Edric Guo</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yguo@univest.us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432"/>
        <w:gridCol w:w="3142"/>
        <w:gridCol w:w="75"/>
      </w:tblGrid>
      <w:tr>
        <w:trPr/>
        <w:tc>
          <w:tcPr>
            <w:tcW w:w="35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tc>
        <w:tc>
          <w:tcPr>
            <w:tcW w:w="75" w:type="dxa"/>
            <w:tcBorders/>
            <w:vAlign w:val="center"/>
          </w:tcPr>
          <w:p>
            <w:pPr>
              <w:pStyle w:val="TableContents"/>
              <w:bidi w:val="0"/>
              <w:spacing w:before="0" w:after="283"/>
              <w:jc w:val="left"/>
              <w:rPr/>
            </w:pPr>
            <w:r>
              <w:rPr/>
              <w:t> </w:t>
            </w:r>
          </w:p>
        </w:tc>
      </w:tr>
      <w:tr>
        <w:trPr/>
        <w:tc>
          <w:tcPr>
            <w:tcW w:w="35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Xiaoyan Lu </w:t>
            </w:r>
          </w:p>
        </w:tc>
        <w:tc>
          <w:tcPr>
            <w:tcW w:w="75" w:type="dxa"/>
            <w:tcBorders/>
            <w:vAlign w:val="center"/>
          </w:tcPr>
          <w:p>
            <w:pPr>
              <w:pStyle w:val="TableContents"/>
              <w:bidi w:val="0"/>
              <w:spacing w:before="0" w:after="283"/>
              <w:jc w:val="left"/>
              <w:rPr/>
            </w:pPr>
            <w:r>
              <w:rPr/>
              <w:t> </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3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Xiaoyan Lu </w:t>
            </w:r>
          </w:p>
        </w:tc>
        <w:tc>
          <w:tcPr>
            <w:tcW w:w="75" w:type="dxa"/>
            <w:tcBorders/>
            <w:vAlign w:val="center"/>
          </w:tcPr>
          <w:p>
            <w:pPr>
              <w:pStyle w:val="TableContents"/>
              <w:bidi w:val="0"/>
              <w:spacing w:before="0" w:after="283"/>
              <w:jc w:val="left"/>
              <w:rPr/>
            </w:pPr>
            <w:r>
              <w:rPr/>
              <w:t> </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3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GROUP HOLDING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501-502, No. 78 East Jinshan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Huqiu District, Suzhou, Jiangsu 215011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Placement Agency Agreement Between YXT.COM GROUP HOLDING LIMITED and Univest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ADDENDUM A</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INDEMNIFICATION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engagement of Univest Securities, LLC (“Univest” or the “Lead Manager”) or together with other broker dealers registered with FINRA and caused by Univest to also act as a manager in connection with the Placements of the Placement Agent Securities (the “Lead Managers”) to be issued by YXT.COM GROUP HOLDING LIMITED (the “Company”) pursuant to the Placement Agency Agreement, dated August 6, 2026, by and between the Company and the Lead Manager(s), as it may be amended from time to time in writing (the “Agreement”), the Company hereby agrees as follows (capitalized terms used herein without definition shall have the meanings ascribed to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extent permitted by law, the Company shall indemnify the Lead Manager(s) and each of their respective affiliates, directors, officers, employees, agents and controlling persons (within the meaning of Section 15 of the Securities Act or Section 20 of the Exchange Act) against all joint or several losses, claims, damages, expenses and liabilities (or actions, including shareholder actions, in respect thereof), as the same are incurred (including the reasonable fees and expenses of counsel), relating to or arising out of its activities hereunder or pursuant to the Agreement, including, without limitation, those which arise out of or are based on (i) any untrue statement or alleged untrue statement of a material fact contained in the Registration Statement (or any amendment thereto), including the information deemed to be a part of the Registration Statement at the time of effectiveness and at any subsequent time pursuant to Rules 430A and 430B of the Securities Act and the rules and regulations thereunder, as applicable, or the omission or alleged omission therefrom of a material fact required to be stated therein or necessary to make the statements therein not misleading, (ii) any untrue statement or alleged untrue statement of a material fact contained in any Prospectus or Prospectus Supplement (or any amendment or supplement to any of the foregoing) or the omission or alleged omission therefrom of a material fact necessary in order to make the statements therein, in the light of the circumstances under which they were made, not misleading, (iii) any untrue statement or alleged untrue statement of a material fact contained in any materials or information provided to investors by, or with the approval of, the Company in connection with the marketing of the offering of the Securities, including any roadshow or investor presentations made to investors by the Company (whether in person or electronically) or the omission or alleged omission therefrom of a material fact necessary in order to make the statements therein, in the light of the circumstances under which they were made, not misleading, or (iv) in whole or in part any inaccuracy in any material respect in the representations and warranties of the Company contained herein or in the Purchase Agreement; provided however, with regard to the Lead Managers, the Company shall not be obligated to indemnify the Lead Manager(s) or such other person or entities under this Section 1 to the extent that any losses, claims, damages, expenses or liabilities (or actions in respect thereof) are found in a final judgment (not subject to appeal) by a court of competent jurisdiction to have resulted primarily and directly from the willful misconduct or gross negligence of the Lead Manager(s) in performing the services described herein, as the case may be. The Company also agrees that no Lead Manager shall have any liability (whether direct or indirect, in contract or tort or otherwise) to the Company or its security holders or creditors related to or arising out of the engagement of the Lead Manager(s) pursuant to, or the performance by the Lead Manager(s) of the services contemplated by, this Agreement except to the extent that any loss, claim, damage or liability is found in a final, non-appealable judgment by a court of competent jurisdiction to have resulted primarily from the willful misconduct or gross negligence of the Lead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Promptly after receipt by the Lead Manager(s) of notice of any claim or the commencement of any action or proceeding with respect to which the Lead Manager(s) are entitled to indemnity hereunder, the Lead Manager(s) will notify the Company in writing of such claim or of the commencement of such action or proceeding, and the Company will assume the defense of such action or proceeding and will employ counsel reasonably satisfactory to the Lead Manager(s) and will pay the fees and expenses of such counsel. Notwithstanding the preceding sentence, the Lead Manager(s) will be entitled to employ counsel separate from counsel for the Company and from any other party in such action if counsel for the Lead Manager(s) reasonably determines that it would be inappropriate under the applicable rules of professional responsibility for the same counsel to represent both the Company and the Lead Manager(s). In such event, the reasonable fees and disbursements of no more than one such separate counsel will be paid by the Company. The Company will have the exclusive right to settle the claim or proceeding provided that the Company will not settle any such claim, action or proceeding without the prior written consent of the Lead Manager(s), which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agrees to notify the Lead Manager(s) promptly of the assertion against it or any other person of any claim or the commencement of any action or proceeding relating to a transaction contemplated by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for any reason the foregoing indemnity is unavailable to the Lead Manager(s) or insufficient to hold such Lead Manager(s) harmless, then the Company shall contribute to the amount paid or payable by the Lead Manager(s), as the case may be, as a result of such losses, claims, damages or liabilities in such proportion as is appropriate to reflect not only the relative benefits received by the Company on the one hand, and the Lead Manager(s) on the other, but also the relative fault of the Company on the one hand and the Lead Manager(s)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the share of the liability of the Lead Manager(s) hereunder shall not be in excess of the amount of fees actually received, or to be received, by the Lead Manager(s) under the Agreement (excluding any amounts received as reimbursement of expenses incurred by the Lead Manager(s) 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These Indemnification Provisions shall remain in full force and effect whether or not the transactions contemplated by the Agreement are completed and shall survive the termination of the Agreement, and shall be in addition to any liability that the Company might otherwise have to any indemnified party under the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has been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320"/>
        <w:gridCol w:w="3635"/>
      </w:tblGrid>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UNIVEST SECURITIES, LLC</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Edric Yi Guo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Edric Yi Guo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CEO and Head of Investment Banking</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Rockefeller Plaza #25A</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Edric Guo</w:t>
            </w:r>
          </w:p>
        </w:tc>
      </w:tr>
      <w:tr>
        <w:trPr/>
        <w:tc>
          <w:tcPr>
            <w:tcW w:w="75"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yguo@univest.us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432"/>
        <w:gridCol w:w="3142"/>
        <w:gridCol w:w="75"/>
      </w:tblGrid>
      <w:tr>
        <w:trPr/>
        <w:tc>
          <w:tcPr>
            <w:tcW w:w="35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tc>
        <w:tc>
          <w:tcPr>
            <w:tcW w:w="75" w:type="dxa"/>
            <w:tcBorders/>
            <w:vAlign w:val="center"/>
          </w:tcPr>
          <w:p>
            <w:pPr>
              <w:pStyle w:val="TableContents"/>
              <w:bidi w:val="0"/>
              <w:spacing w:before="0" w:after="283"/>
              <w:jc w:val="left"/>
              <w:rPr/>
            </w:pPr>
            <w:r>
              <w:rPr/>
              <w:t> </w:t>
            </w:r>
          </w:p>
        </w:tc>
      </w:tr>
      <w:tr>
        <w:trPr/>
        <w:tc>
          <w:tcPr>
            <w:tcW w:w="35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Xiaoyan Lu </w:t>
            </w:r>
          </w:p>
        </w:tc>
        <w:tc>
          <w:tcPr>
            <w:tcW w:w="75" w:type="dxa"/>
            <w:tcBorders/>
            <w:vAlign w:val="center"/>
          </w:tcPr>
          <w:p>
            <w:pPr>
              <w:pStyle w:val="TableContents"/>
              <w:bidi w:val="0"/>
              <w:spacing w:before="0" w:after="283"/>
              <w:jc w:val="left"/>
              <w:rPr/>
            </w:pPr>
            <w:r>
              <w:rPr/>
              <w:t> </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3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Xiaoyan Lu </w:t>
            </w:r>
          </w:p>
        </w:tc>
        <w:tc>
          <w:tcPr>
            <w:tcW w:w="75" w:type="dxa"/>
            <w:tcBorders/>
            <w:vAlign w:val="center"/>
          </w:tcPr>
          <w:p>
            <w:pPr>
              <w:pStyle w:val="TableContents"/>
              <w:bidi w:val="0"/>
              <w:spacing w:before="0" w:after="283"/>
              <w:jc w:val="left"/>
              <w:rPr/>
            </w:pPr>
            <w:r>
              <w:rPr/>
              <w:t> </w:t>
            </w:r>
          </w:p>
        </w:tc>
      </w:tr>
      <w:tr>
        <w:trPr/>
        <w:tc>
          <w:tcPr>
            <w:tcW w:w="432" w:type="dxa"/>
            <w:tcBorders/>
            <w:vAlign w:val="center"/>
          </w:tcPr>
          <w:p>
            <w:pPr>
              <w:pStyle w:val="TableContents"/>
              <w:bidi w:val="0"/>
              <w:spacing w:before="0" w:after="283"/>
              <w:jc w:val="left"/>
              <w:rPr>
                <w:caps w:val="false"/>
                <w:smallCaps w:val="false"/>
              </w:rPr>
            </w:pPr>
            <w:r>
              <w:rPr>
                <w:caps w:val="false"/>
                <w:smallCaps w:val="false"/>
              </w:rPr>
              <w:t> </w:t>
            </w:r>
          </w:p>
        </w:tc>
        <w:tc>
          <w:tcPr>
            <w:tcW w:w="3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GROUP HOLDING LIMITED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501-502, No. 78 East Jinshan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Huqiu District, Suzhou, Jiangsu 215011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622534d1_ex5-1.htm"/>
      <w:bookmarkStart w:id="5" w:name="kstm2622534d1_ex51"/>
      <w:bookmarkEnd w:id="4"/>
      <w:bookmarkEnd w:id="5"/>
      <w:r>
        <w:rPr/>
        <w:t> </w:t>
      </w:r>
      <w:r>
        <w:br w:type="page"/>
      </w:r>
    </w:p>
    <w:p>
      <w:pPr>
        <w:pStyle w:val="TextBody"/>
        <w:bidi w:val="0"/>
        <w:jc w:val="right"/>
        <w:rPr>
          <w:b/>
        </w:rPr>
      </w:pPr>
      <w:r>
        <w:rPr>
          <w:b/>
        </w:rPr>
        <w:t>Exhibit 5.1</w:t>
      </w:r>
    </w:p>
    <w:p>
      <w:pPr>
        <w:pStyle w:val="TextBody"/>
        <w:bidi w:val="0"/>
        <w:spacing w:before="0" w:after="283"/>
        <w:jc w:val="left"/>
        <w:rPr/>
      </w:pPr>
      <w:r>
        <w:rPr/>
        <w:drawing>
          <wp:inline distT="0" distB="0" distL="0" distR="0">
            <wp:extent cx="1457325"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333375"/>
                    </a:xfrm>
                    <a:prstGeom prst="rect">
                      <a:avLst/>
                    </a:prstGeom>
                  </pic:spPr>
                </pic:pic>
              </a:graphicData>
            </a:graphic>
          </wp:inline>
        </w:drawing>
      </w:r>
      <w:r>
        <w:rPr/>
        <w:t> </w:t>
      </w:r>
    </w:p>
    <w:p>
      <w:pPr>
        <w:pStyle w:val="TextBody"/>
        <w:bidi w:val="0"/>
        <w:spacing w:before="0" w:after="283"/>
        <w:jc w:val="left"/>
        <w:rPr/>
      </w:pPr>
      <w:r>
        <w:rPr/>
        <w:t> </w:t>
      </w:r>
    </w:p>
    <w:tbl>
      <w:tblPr>
        <w:tblW w:w="2305" w:type="dxa"/>
        <w:jc w:val="left"/>
        <w:tblInd w:w="0" w:type="dxa"/>
        <w:tblLayout w:type="fixed"/>
        <w:tblCellMar>
          <w:top w:w="0" w:type="dxa"/>
          <w:left w:w="0" w:type="dxa"/>
          <w:bottom w:w="0" w:type="dxa"/>
          <w:right w:w="0" w:type="dxa"/>
        </w:tblCellMar>
      </w:tblPr>
      <w:tblGrid>
        <w:gridCol w:w="1535"/>
        <w:gridCol w:w="770"/>
      </w:tblGrid>
      <w:tr>
        <w:trPr/>
        <w:tc>
          <w:tcPr>
            <w:tcW w:w="153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Partners:</w:t>
            </w:r>
          </w:p>
        </w:tc>
        <w:tc>
          <w:tcPr>
            <w:tcW w:w="770" w:type="dxa"/>
            <w:tcBorders/>
            <w:vAlign w:val="center"/>
          </w:tcPr>
          <w:p>
            <w:pPr>
              <w:pStyle w:val="TableContents"/>
              <w:bidi w:val="0"/>
              <w:spacing w:before="0" w:after="283"/>
              <w:jc w:val="both"/>
              <w:rPr/>
            </w:pPr>
            <w:r>
              <w:rPr/>
              <w:t> </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Paul Aherne </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Brett Basdeo</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John Cartwright </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John Crook </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Mark Cummings</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Natalie Curtis</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James Gaden</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Robert Gregory</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Kevin Ho</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Jason Hung</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Kristen Kwok </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Wing Lam</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Jolin Lin</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Thomas Pugh</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Andrew Randall</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Victoria Raymond</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Wei Ching Teo</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w:t>
      </w:r>
    </w:p>
    <w:tbl>
      <w:tblPr>
        <w:tblW w:w="6460" w:type="dxa"/>
        <w:jc w:val="left"/>
        <w:tblInd w:w="0" w:type="dxa"/>
        <w:tblLayout w:type="fixed"/>
        <w:tblCellMar>
          <w:top w:w="0" w:type="dxa"/>
          <w:left w:w="0" w:type="dxa"/>
          <w:bottom w:w="0" w:type="dxa"/>
          <w:right w:w="0" w:type="dxa"/>
        </w:tblCellMar>
      </w:tblPr>
      <w:tblGrid>
        <w:gridCol w:w="3575"/>
        <w:gridCol w:w="2885"/>
      </w:tblGrid>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 August 2026</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Our Ref: KH/BLUI/U0683-H27504</w:t>
            </w:r>
          </w:p>
        </w:tc>
      </w:tr>
      <w:tr>
        <w:trPr/>
        <w:tc>
          <w:tcPr>
            <w:tcW w:w="35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YXT.COM GROUP HOLDING LIMITED</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 Walkers Corporate Limited</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190 Elgin Avenue</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George Town</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Grand Cayman KY1-9008</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Dear Sirs or Madam</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YXT.COM GROUP HOLDING LIMITED</w:t>
            </w:r>
          </w:p>
        </w:tc>
        <w:tc>
          <w:tcPr>
            <w:tcW w:w="288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Cayman Islands legal advisers to </w:t>
      </w:r>
      <w:r>
        <w:rPr>
          <w:rFonts w:ascii="Times New Roman;Times;Serif" w:hAnsi="Times New Roman;Times;Serif"/>
          <w:b/>
          <w:i w:val="false"/>
          <w:caps w:val="false"/>
          <w:smallCaps w:val="false"/>
          <w:sz w:val="20"/>
        </w:rPr>
        <w:t>YXT.COM GROUP HOLDING LIMITED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registration for issuance and sale from time to time, by the Company of (i) Class A ordinary shares, par value US$0.0001 each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including Ordinary Shares represented by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each ADS representing thirty Ordinary Shares, (ii) preferred shares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and together with the Ordinary Shares and ADSs, “</w:t>
      </w:r>
      <w:r>
        <w:rPr>
          <w:rFonts w:ascii="Times New Roman;Times;Serif" w:hAnsi="Times New Roman;Times;Serif"/>
          <w:b/>
          <w:i w:val="false"/>
          <w:caps w:val="false"/>
          <w:smallCaps w:val="false"/>
          <w:sz w:val="20"/>
        </w:rPr>
        <w:t>Equity Securities</w:t>
      </w:r>
      <w:r>
        <w:rPr>
          <w:rFonts w:ascii="Times New Roman;Times;Serif" w:hAnsi="Times New Roman;Times;Serif"/>
          <w:b w:val="false"/>
          <w:i w:val="false"/>
          <w:caps w:val="false"/>
          <w:smallCaps w:val="false"/>
          <w:sz w:val="20"/>
        </w:rPr>
        <w:t>”) (iii) warrants to purchase Equity Securities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(iv) subscription rights to purchase Equity Securities (“</w:t>
      </w:r>
      <w:r>
        <w:rPr>
          <w:rFonts w:ascii="Times New Roman;Times;Serif" w:hAnsi="Times New Roman;Times;Serif"/>
          <w:b/>
          <w:i w:val="false"/>
          <w:caps w:val="false"/>
          <w:smallCaps w:val="false"/>
          <w:sz w:val="20"/>
        </w:rPr>
        <w:t>Rights</w:t>
      </w:r>
      <w:r>
        <w:rPr>
          <w:rFonts w:ascii="Times New Roman;Times;Serif" w:hAnsi="Times New Roman;Times;Serif"/>
          <w:b w:val="false"/>
          <w:i w:val="false"/>
          <w:caps w:val="false"/>
          <w:smallCaps w:val="false"/>
          <w:sz w:val="20"/>
        </w:rPr>
        <w:t>”) and/or (v) units consisting of one or more of the foregoing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in each case as contemplated by the Form F-3 Registration Statement (File No. 333-292185)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under the U.S. Securities Act of 1933, as amended,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This opinion is furnished in connection with the offering and sale by the Company of 150,000 ADSs, representing 4,500,000 Ordinary Shares (the “</w:t>
      </w:r>
      <w:r>
        <w:rPr>
          <w:rFonts w:ascii="Times New Roman;Times;Serif" w:hAnsi="Times New Roman;Times;Serif"/>
          <w:b/>
          <w:i w:val="false"/>
          <w:caps w:val="false"/>
          <w:smallCaps w:val="false"/>
          <w:sz w:val="20"/>
        </w:rPr>
        <w:t>Offered Shares</w:t>
      </w:r>
      <w:r>
        <w:rPr>
          <w:rFonts w:ascii="Times New Roman;Times;Serif" w:hAnsi="Times New Roman;Times;Serif"/>
          <w:b w:val="false"/>
          <w:i w:val="false"/>
          <w:caps w:val="false"/>
          <w:smallCaps w:val="false"/>
          <w:sz w:val="20"/>
        </w:rPr>
        <w:t>”), pursuant to the securities purchase agreement dated 6 August 2026 between the Company and the purchaser named therein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the Company’s prospectus supplement dated 6 August 2026 to the prospectus dated 29 June 2026 forming part of the Registration Statement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We are furnishing this opinion as Exhibit 5.1 to the Company’s report on Form 6-K furnished to the Commission on or about 7 August 2026 (the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which is incorporated by reference into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Walkers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rFonts w:eastAsia="Times New Roman;Times;Serif"/>
          <w:b/>
          <w:i w:val="false"/>
          <w:caps w:val="false"/>
          <w:smallCaps w:val="false"/>
          <w:sz w:val="20"/>
        </w:rPr>
        <w:t xml:space="preserve">滙嘉律師事務所 </w:t>
      </w:r>
      <w:r>
        <w:rPr>
          <w:rFonts w:ascii="Times New Roman;Times;Serif" w:hAnsi="Times New Roman;Times;Serif"/>
          <w:b/>
          <w:i w:val="false"/>
          <w:caps w:val="false"/>
          <w:smallCaps w:val="false"/>
          <w:sz w:val="20"/>
        </w:rPr>
        <w:t>(</w:t>
      </w:r>
      <w:r>
        <w:rPr>
          <w:rFonts w:eastAsia="Times New Roman;Times;Serif"/>
          <w:b/>
          <w:i w:val="false"/>
          <w:caps w:val="false"/>
          <w:smallCaps w:val="false"/>
          <w:sz w:val="20"/>
        </w:rPr>
        <w:t>香港</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15th Floor, Alexandra House, 18 Chater Road, Central,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+852 2284 4566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+852 2284 4560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Bermuda | British Virgin Islands | Cayman Islands | Dubai | Guernsey | Hong Kong | Ireland | Jersey | London |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*England and Wales; **BVI; ***Cayman Islands; ****New South Wales (Australia); *****Victoria (Australia); ******Bermuda; *******Singapore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and relied upon the originals, copies or translations of the documents listed in 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out in Schedule 2, which we have not independently verified.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  Except as explicitly stated herein, we express no opinion in relation to any representation or warranty contained in the Registration Statement nor upon matters of fact or the commercial terms of the transactions contemplated by the Registration Statement.</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examinations and assumptions and upon such searches as we have conducted and having regard to legal considerations which we consider relevant, and subject to the qualifications set out in Schedule 3, and under the laws of the Cayman Islands, we give the following opinions in relation to the matters set out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1.</w:t>
            </w:r>
          </w:p>
        </w:tc>
        <w:tc>
          <w:tcPr>
            <w:tcW w:w="10003" w:type="dxa"/>
            <w:tcBorders/>
            <w:vAlign w:val="center"/>
          </w:tcPr>
          <w:p>
            <w:pPr>
              <w:pStyle w:val="TableContents"/>
              <w:bidi w:val="0"/>
              <w:spacing w:before="0" w:after="283"/>
              <w:jc w:val="both"/>
              <w:rPr/>
            </w:pPr>
            <w:r>
              <w:rPr/>
              <w:t>The Company is an exempted company duly incorporated with limited liability, validly existing under the laws of the Cayman Islands and in good standing with the Registrar of Companies in the Cayman Islands (the “</w:t>
            </w:r>
            <w:r>
              <w:rPr>
                <w:b/>
              </w:rPr>
              <w:t>Registrar</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both"/>
              <w:rPr/>
            </w:pPr>
            <w:r>
              <w:rPr/>
              <w:t>Based solely on our review of the Memorandum and Articles, the authorised share capital of the Company is US$50,000 divided into (a) 483,068,176 Class A ordinary shares with a par value of US$0.0001 each, and (b) 16,931,824 Class B ordinary shares with a par value of US$0.0001 each. As at the date of this opinion the Company has sufficient authorised but unissued Ordinary Shares to permit the issue of the Offered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3.</w:t>
            </w:r>
          </w:p>
        </w:tc>
        <w:tc>
          <w:tcPr>
            <w:tcW w:w="10023" w:type="dxa"/>
            <w:tcBorders/>
            <w:vAlign w:val="center"/>
          </w:tcPr>
          <w:p>
            <w:pPr>
              <w:pStyle w:val="TableContents"/>
              <w:bidi w:val="0"/>
              <w:spacing w:before="0" w:after="283"/>
              <w:jc w:val="both"/>
              <w:rPr/>
            </w:pPr>
            <w:r>
              <w:rPr/>
              <w:t>With respect to Ordinary Shares, Preferred Shares, ADSs, Warrants, Rights and Units of the Company (including Ordinary Shares represented by ADSs), when (a) the board of directors of the Company (the “</w:t>
            </w:r>
            <w:r>
              <w:rPr>
                <w:b/>
              </w:rPr>
              <w:t>Board</w:t>
            </w:r>
            <w:r>
              <w:rPr/>
              <w:t>”) has taken all necessary corporate action to approve the issuance thereof, the terms of the offering thereof and related matters; (b) the provisions of the applicable definitive purchase, underwriting or similar agreement approved by the Board have been satisfied and payment of the consideration specified therein (being not less than their par value) has been made; and (c) valid book-entry notations are made in the register of members of the Company, then such Ordinary Shares, Preferred Shares, ADSs, Warrants, Rights or Units of the Company as the case may be, will have been duly authorised and validly issued, fully paid and non-assessable (meaning that no additional sums may be levied on the holder thereof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4.</w:t>
            </w:r>
          </w:p>
        </w:tc>
        <w:tc>
          <w:tcPr>
            <w:tcW w:w="10017" w:type="dxa"/>
            <w:tcBorders/>
            <w:vAlign w:val="center"/>
          </w:tcPr>
          <w:p>
            <w:pPr>
              <w:pStyle w:val="TableContents"/>
              <w:bidi w:val="0"/>
              <w:spacing w:before="0" w:after="283"/>
              <w:jc w:val="both"/>
              <w:rPr/>
            </w:pPr>
            <w:r>
              <w:rPr/>
              <w:t>The Offered Shares have been duly authorised for issue and, when issued and delivered against payment therefor in accordance with the Purchase Agreement and the Resolutions, and when the name of the person to whom the Offered Shares are issued has been entered in the register of members of the Company as the holder thereof, the Offered Shares will be validly issued, fully paid and non-assessable (meaning that no additional sums may be levied on the holder thereof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in, and the filing hereof, as an exhibit to the Form 6-K and the Registration Statement, and to the reference to our firm under the headings “Legal Matters”, "Taxation – Cayman Islands Taxation" and "Enforceability of Civil Liabilities" in the prospectus and the Prospectus Supplement included in or forming part of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without our prior written consent, save that this opinion may also be relied upon by Univest Securities, LLC, as placement agent, and by the purchaser under the Purchase Agreement, in connection with the transactions contemplated by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shall be construed in accordance with the laws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Walkers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LIST OF DOCUMENTS EXAMINED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1.</w:t>
            </w:r>
          </w:p>
        </w:tc>
        <w:tc>
          <w:tcPr>
            <w:tcW w:w="10021" w:type="dxa"/>
            <w:tcBorders/>
            <w:vAlign w:val="center"/>
          </w:tcPr>
          <w:p>
            <w:pPr>
              <w:pStyle w:val="TableContents"/>
              <w:bidi w:val="0"/>
              <w:spacing w:before="0" w:after="283"/>
              <w:jc w:val="both"/>
              <w:rPr/>
            </w:pPr>
            <w:r>
              <w:rPr/>
              <w:t>The Certificate of Incorporation dated 20 January 2017, the Certificate of Incorporation on Change of Name dated 9 July 2021, the Eighth Amended and Restated Memorandum and Articles of Association as adopted by a special resolution passed on 1 July 2024 conditional upon and effective immediately prior to the completion of the Company's initial public offering of ADSs representing its Ordinary Shares (the "</w:t>
            </w:r>
            <w:r>
              <w:rPr>
                <w:b/>
              </w:rPr>
              <w:t>Memorandum and Articles</w:t>
            </w:r>
            <w:r>
              <w:rPr/>
              <w:t>"), the register of members of the Company printed on 7 August 2026 (the "</w:t>
            </w:r>
            <w:r>
              <w:rPr>
                <w:b/>
              </w:rPr>
              <w:t>Register of Members</w:t>
            </w:r>
            <w:r>
              <w:rPr/>
              <w:t>"), in each case, copies of which have been provided to us by the Company's registered office in the Cayman Islands (together the "</w:t>
            </w:r>
            <w:r>
              <w:rPr>
                <w:b/>
              </w:rPr>
              <w:t>Company Records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2.</w:t>
            </w:r>
          </w:p>
        </w:tc>
        <w:tc>
          <w:tcPr>
            <w:tcW w:w="9987" w:type="dxa"/>
            <w:tcBorders/>
            <w:vAlign w:val="center"/>
          </w:tcPr>
          <w:p>
            <w:pPr>
              <w:pStyle w:val="TableContents"/>
              <w:bidi w:val="0"/>
              <w:spacing w:before="0" w:after="283"/>
              <w:jc w:val="both"/>
              <w:rPr/>
            </w:pPr>
            <w:r>
              <w:rPr/>
              <w:t>The Cayman Online Registry Information System (CORIS), the Cayman Islands' General Registry's online database, searched on 7 August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3.</w:t>
            </w:r>
          </w:p>
        </w:tc>
        <w:tc>
          <w:tcPr>
            <w:tcW w:w="9987" w:type="dxa"/>
            <w:tcBorders/>
            <w:vAlign w:val="center"/>
          </w:tcPr>
          <w:p>
            <w:pPr>
              <w:pStyle w:val="TableContents"/>
              <w:bidi w:val="0"/>
              <w:spacing w:before="0" w:after="283"/>
              <w:jc w:val="both"/>
              <w:rPr/>
            </w:pPr>
            <w:r>
              <w:rPr/>
              <w:t>A copy of a Certificate of Good Standing dated 6 August 2026 in respect of the Company issued by the Registrar (the "</w:t>
            </w:r>
            <w:r>
              <w:rPr>
                <w:b/>
                <w:sz w:val="20"/>
              </w:rPr>
              <w:t>Certificate of Good Standing</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Copies of executed written resolutions of the Board of Directors of the Company dated 27 November 2025 and 6 August 2026, the latter approving, inter alia, the offering of the Offered Shares, the Purchase Agreement and the issue and allotment of the Offered Shares (together, the "</w:t>
            </w:r>
            <w:r>
              <w:rPr>
                <w:b/>
              </w:rPr>
              <w:t>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11"/>
        <w:gridCol w:w="9597"/>
      </w:tblGrid>
      <w:tr>
        <w:trPr/>
        <w:tc>
          <w:tcPr>
            <w:tcW w:w="9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5.</w:t>
            </w:r>
          </w:p>
        </w:tc>
        <w:tc>
          <w:tcPr>
            <w:tcW w:w="9597" w:type="dxa"/>
            <w:tcBorders/>
            <w:vAlign w:val="center"/>
          </w:tcPr>
          <w:p>
            <w:pPr>
              <w:pStyle w:val="TableContents"/>
              <w:bidi w:val="0"/>
              <w:spacing w:before="0" w:after="283"/>
              <w:jc w:val="both"/>
              <w:rPr>
                <w:sz w:val="20"/>
              </w:rPr>
            </w:pPr>
            <w:r>
              <w:rPr>
                <w:sz w:val="20"/>
              </w:rPr>
              <w:t>An executed copy of the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07"/>
        <w:gridCol w:w="9959"/>
      </w:tblGrid>
      <w:tr>
        <w:trPr/>
        <w:tc>
          <w:tcPr>
            <w:tcW w:w="3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6.</w:t>
            </w:r>
          </w:p>
        </w:tc>
        <w:tc>
          <w:tcPr>
            <w:tcW w:w="9959" w:type="dxa"/>
            <w:tcBorders/>
            <w:vAlign w:val="center"/>
          </w:tcPr>
          <w:p>
            <w:pPr>
              <w:pStyle w:val="TableContents"/>
              <w:bidi w:val="0"/>
              <w:spacing w:before="0" w:after="283"/>
              <w:jc w:val="both"/>
              <w:rPr/>
            </w:pPr>
            <w:r>
              <w:rPr/>
              <w:t>The Prospectus Supplement, filed by the Company with the Commission on or about 7 August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ASSUMPTIONS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All authorisations, approvals, consents, licences and exemptions required by, and all filings and other steps required of each of the parties to the Registration Statement outside the Cayman Islands to ensure the legality, validity and enforceability of the Registration Statement have been or will be duly obtained, made or fulfilled and are and will remain in full force and effect and any conditions to which they are subject have been satisfied.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2.</w:t>
            </w:r>
          </w:p>
        </w:tc>
        <w:tc>
          <w:tcPr>
            <w:tcW w:w="9975" w:type="dxa"/>
            <w:tcBorders/>
            <w:vAlign w:val="center"/>
          </w:tcPr>
          <w:p>
            <w:pPr>
              <w:pStyle w:val="TableContents"/>
              <w:bidi w:val="0"/>
              <w:spacing w:before="0" w:after="283"/>
              <w:jc w:val="both"/>
              <w:rPr/>
            </w:pPr>
            <w:r>
              <w:rPr/>
              <w:t>The Resolutions are and shall remain in full force and effect and have not been and will not be rescinded or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3.</w:t>
            </w:r>
          </w:p>
        </w:tc>
        <w:tc>
          <w:tcPr>
            <w:tcW w:w="10009" w:type="dxa"/>
            <w:tcBorders/>
            <w:vAlign w:val="center"/>
          </w:tcPr>
          <w:p>
            <w:pPr>
              <w:pStyle w:val="TableContents"/>
              <w:bidi w:val="0"/>
              <w:spacing w:before="0" w:after="283"/>
              <w:jc w:val="both"/>
              <w:rPr/>
            </w:pPr>
            <w:r>
              <w:rPr/>
              <w:t>The originals of all documents examined in connection with this opinion are authentic.  All documents purporting to be sealed have been so sealed.  All copies are complete and conform to their originals. Any translations are a complete and accurate translation of the original document they purport to translate.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4.</w:t>
            </w:r>
          </w:p>
        </w:tc>
        <w:tc>
          <w:tcPr>
            <w:tcW w:w="10012" w:type="dxa"/>
            <w:tcBorders/>
            <w:vAlign w:val="center"/>
          </w:tcPr>
          <w:p>
            <w:pPr>
              <w:pStyle w:val="TableContents"/>
              <w:bidi w:val="0"/>
              <w:spacing w:before="0" w:after="283"/>
              <w:jc w:val="both"/>
              <w:rPr/>
            </w:pPr>
            <w:r>
              <w:rPr/>
              <w:t>The Registration Statement and the documents or agreements referred to therein have been or will be duly authorised, executed and delivered by or on behalf of all relevant parties prior to the issue and sale of the Equity Securities, Warrants, Rights and Units and will be legal, valid, binding and enforceable against all relevant parties in accordance with their terms.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5.</w:t>
            </w:r>
          </w:p>
        </w:tc>
        <w:tc>
          <w:tcPr>
            <w:tcW w:w="9985" w:type="dxa"/>
            <w:tcBorders/>
            <w:vAlign w:val="center"/>
          </w:tcPr>
          <w:p>
            <w:pPr>
              <w:pStyle w:val="TableContents"/>
              <w:bidi w:val="0"/>
              <w:spacing w:before="0" w:after="283"/>
              <w:jc w:val="both"/>
              <w:rPr/>
            </w:pPr>
            <w:r>
              <w:rPr/>
              <w:t>We have relied upon the statements and representations of directors, officers and other representatives of the Company as to factual matters.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6.</w:t>
            </w:r>
          </w:p>
        </w:tc>
        <w:tc>
          <w:tcPr>
            <w:tcW w:w="9987" w:type="dxa"/>
            <w:tcBorders/>
            <w:vAlign w:val="center"/>
          </w:tcPr>
          <w:p>
            <w:pPr>
              <w:pStyle w:val="TableContents"/>
              <w:bidi w:val="0"/>
              <w:spacing w:before="0" w:after="283"/>
              <w:jc w:val="both"/>
              <w:rPr/>
            </w:pPr>
            <w:r>
              <w:rPr/>
              <w:t>On the date of issue of the Ordinary Shares and Preferred Shares the Company shall have sufficient authorised but unissued share capital available.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7.</w:t>
            </w:r>
          </w:p>
        </w:tc>
        <w:tc>
          <w:tcPr>
            <w:tcW w:w="10009" w:type="dxa"/>
            <w:tcBorders/>
            <w:vAlign w:val="center"/>
          </w:tcPr>
          <w:p>
            <w:pPr>
              <w:pStyle w:val="TableContents"/>
              <w:bidi w:val="0"/>
              <w:spacing w:before="0" w:after="283"/>
              <w:jc w:val="both"/>
              <w:rPr/>
            </w:pPr>
            <w:r>
              <w:rPr/>
              <w:t>The Resolutions have been duly executed (and where by a corporate entity such execution has been duly authorised if so required) by or on behalf of each Director and the signatures and initials thereon are those of a person or persons in whose name the Resolutions have been expressed to be signed.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8.</w:t>
            </w:r>
          </w:p>
        </w:tc>
        <w:tc>
          <w:tcPr>
            <w:tcW w:w="10008" w:type="dxa"/>
            <w:tcBorders/>
            <w:vAlign w:val="center"/>
          </w:tcPr>
          <w:p>
            <w:pPr>
              <w:pStyle w:val="TableContents"/>
              <w:bidi w:val="0"/>
              <w:spacing w:before="0" w:after="283"/>
              <w:jc w:val="both"/>
              <w:rPr/>
            </w:pPr>
            <w:r>
              <w:rPr/>
              <w:t>The Company has received, or will on issue of the relevant Equity Securities, Warrants, Rights and Units receive, consideration in money or money’s worth for each share when issued, such consideration in any event not being less than the stated par or nominal value of each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9.</w:t>
            </w:r>
          </w:p>
        </w:tc>
        <w:tc>
          <w:tcPr>
            <w:tcW w:w="10008" w:type="dxa"/>
            <w:tcBorders/>
            <w:vAlign w:val="center"/>
          </w:tcPr>
          <w:p>
            <w:pPr>
              <w:pStyle w:val="TableContents"/>
              <w:bidi w:val="0"/>
              <w:spacing w:before="0" w:after="283"/>
              <w:jc w:val="both"/>
              <w:rPr/>
            </w:pPr>
            <w:r>
              <w:rPr/>
              <w:t>The Company has, or will on issue of the relevant Ordinary Shares and Preferred Shares have, issued and sold the shares in the manner contemplated by the Registration Statement and the documents or agreements referred to therein and otherwise in compliance with all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10.</w:t>
            </w:r>
          </w:p>
        </w:tc>
        <w:tc>
          <w:tcPr>
            <w:tcW w:w="9862" w:type="dxa"/>
            <w:tcBorders/>
            <w:vAlign w:val="center"/>
          </w:tcPr>
          <w:p>
            <w:pPr>
              <w:pStyle w:val="TableContents"/>
              <w:bidi w:val="0"/>
              <w:spacing w:before="0" w:after="283"/>
              <w:jc w:val="both"/>
              <w:rPr/>
            </w:pPr>
            <w:r>
              <w:rPr/>
              <w:t>The Memorandum and Articles are the memorandum and articles of association of the Company and are in force at the date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11.</w:t>
            </w:r>
          </w:p>
        </w:tc>
        <w:tc>
          <w:tcPr>
            <w:tcW w:w="9876" w:type="dxa"/>
            <w:tcBorders/>
            <w:vAlign w:val="center"/>
          </w:tcPr>
          <w:p>
            <w:pPr>
              <w:pStyle w:val="TableContents"/>
              <w:bidi w:val="0"/>
              <w:spacing w:before="0" w:after="283"/>
              <w:jc w:val="both"/>
              <w:rPr/>
            </w:pPr>
            <w:r>
              <w:rPr/>
              <w:t>The Company Records are complete and accurate and all matters required by law and the Memorandum and Articles to be recorded therein are completely and accurately so recorded.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12.</w:t>
            </w:r>
          </w:p>
        </w:tc>
        <w:tc>
          <w:tcPr>
            <w:tcW w:w="9895" w:type="dxa"/>
            <w:tcBorders/>
            <w:vAlign w:val="center"/>
          </w:tcPr>
          <w:p>
            <w:pPr>
              <w:pStyle w:val="TableContents"/>
              <w:bidi w:val="0"/>
              <w:spacing w:before="0" w:after="283"/>
              <w:jc w:val="both"/>
              <w:rPr/>
            </w:pPr>
            <w:r>
              <w:rPr/>
              <w:t>There are no records of the Company (other than the Company Records), agreements, documents or arrangements other than the documents expressly referred to herein as having been examined by us which materially affect, amend or vary the transactions envisaged in the Registration Statement or restrict the powers and authority of the directors of the Company in any way or which would affect any opinion 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13.</w:t>
            </w:r>
          </w:p>
        </w:tc>
        <w:tc>
          <w:tcPr>
            <w:tcW w:w="9886" w:type="dxa"/>
            <w:tcBorders/>
            <w:vAlign w:val="center"/>
          </w:tcPr>
          <w:p>
            <w:pPr>
              <w:pStyle w:val="TableContents"/>
              <w:bidi w:val="0"/>
              <w:spacing w:before="0" w:after="283"/>
              <w:jc w:val="both"/>
              <w:rPr/>
            </w:pPr>
            <w:r>
              <w:rPr/>
              <w:t>No resolution voluntarily to wind up the Company has been adopted by the members of the Company and no event of a type which is specified in the Memorandum and Articles as giving rise to the winding up of the Company (if any) has in fact occurred.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QUALIFICATIONS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1.</w:t>
            </w:r>
          </w:p>
        </w:tc>
        <w:tc>
          <w:tcPr>
            <w:tcW w:w="10014" w:type="dxa"/>
            <w:tcBorders/>
            <w:vAlign w:val="center"/>
          </w:tcPr>
          <w:p>
            <w:pPr>
              <w:pStyle w:val="TableContents"/>
              <w:bidi w:val="0"/>
              <w:spacing w:before="0" w:after="283"/>
              <w:jc w:val="both"/>
              <w:rPr/>
            </w:pPr>
            <w:r>
              <w:rPr/>
              <w:t>If any business of a company has been carried on with intent to defraud creditors of the company or creditors of any other person or for any fraudulent purpose, the Court may declare that any persons who were knowingly parties to the carrying on of the business of the company in such manner are liable to make such contributions, if any, to the company's assets as the Court thinks proper.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2.</w:t>
            </w:r>
          </w:p>
        </w:tc>
        <w:tc>
          <w:tcPr>
            <w:tcW w:w="9994" w:type="dxa"/>
            <w:tcBorders/>
            <w:vAlign w:val="center"/>
          </w:tcPr>
          <w:p>
            <w:pPr>
              <w:pStyle w:val="TableContents"/>
              <w:bidi w:val="0"/>
              <w:spacing w:before="0" w:after="283"/>
              <w:jc w:val="both"/>
              <w:rPr/>
            </w:pPr>
            <w:r>
              <w:rPr/>
              <w:t>The obligations of the Company may be subject to restrictions pursuant to United Nations and United Kingdom sanctions extended to the Cayman Islands by Orders in Council.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3.</w:t>
            </w:r>
          </w:p>
        </w:tc>
        <w:tc>
          <w:tcPr>
            <w:tcW w:w="10014" w:type="dxa"/>
            <w:tcBorders/>
            <w:vAlign w:val="center"/>
          </w:tcPr>
          <w:p>
            <w:pPr>
              <w:pStyle w:val="TableContents"/>
              <w:bidi w:val="0"/>
              <w:spacing w:before="0" w:after="283"/>
              <w:jc w:val="both"/>
              <w:rPr/>
            </w:pPr>
            <w:r>
              <w:rPr/>
              <w:t>Our opinion as to good standing is based solely upon receipt of the Certificate of Good Standing issued by the Registrar. The Company shall be deemed to be in good standing under section 200A of the Companies Act on the date of issue of the certificate if all fees and penalties under the Companies Act have been paid and the Registrar has no knowledge that the Company is in default under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4.</w:t>
            </w:r>
          </w:p>
        </w:tc>
        <w:tc>
          <w:tcPr>
            <w:tcW w:w="9997" w:type="dxa"/>
            <w:tcBorders/>
            <w:vAlign w:val="center"/>
          </w:tcPr>
          <w:p>
            <w:pPr>
              <w:pStyle w:val="TableContents"/>
              <w:bidi w:val="0"/>
              <w:spacing w:before="0" w:after="283"/>
              <w:jc w:val="both"/>
              <w:rPr/>
            </w:pPr>
            <w:r>
              <w:rPr/>
              <w:t>We express no opinion upon any provisions in the Memorandum and Articles or any document which contains a reference to any law or statute that is not a Cayman Islands law or statute.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5.</w:t>
            </w:r>
          </w:p>
        </w:tc>
        <w:tc>
          <w:tcPr>
            <w:tcW w:w="10009" w:type="dxa"/>
            <w:tcBorders/>
            <w:vAlign w:val="center"/>
          </w:tcPr>
          <w:p>
            <w:pPr>
              <w:pStyle w:val="TableContents"/>
              <w:bidi w:val="0"/>
              <w:spacing w:before="0" w:after="283"/>
              <w:jc w:val="both"/>
              <w:rPr/>
            </w:pPr>
            <w:r>
              <w:rPr/>
              <w:t>We render no opinion as to the specific enforcement as against the Company of covenants granted by the Company to do or to omit to do any action or other matter which is reserved by applicable law or the Company's constitutional documents to the members of the Company or to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6.</w:t>
            </w:r>
          </w:p>
        </w:tc>
        <w:tc>
          <w:tcPr>
            <w:tcW w:w="10024" w:type="dxa"/>
            <w:tcBorders/>
            <w:vAlign w:val="center"/>
          </w:tcPr>
          <w:p>
            <w:pPr>
              <w:pStyle w:val="TableContents"/>
              <w:bidi w:val="0"/>
              <w:spacing w:before="0" w:after="283"/>
              <w:jc w:val="both"/>
              <w:rPr/>
            </w:pPr>
            <w:r>
              <w:rPr/>
              <w:t xml:space="preserve">In the event of a misrepresentation by a company on which a member relied in agreeing to subscribe for shares in such company, the member may be entitled to rescind the share subscription agreement and thereafter claim damages against such company for any additional loss suffered as a result of the misrepresentation. Such a claim for damages will not arise unless and until the member has successfully rescinded the share subscription agreement. A member may be barred from rescinding on the grounds of delay or affirmation. The Cayman Islands Court of Appeal's judgment in </w:t>
            </w:r>
            <w:r>
              <w:rPr>
                <w:i/>
              </w:rPr>
              <w:t>Re HQP Corporation Ltd (in Official Liquidation)</w:t>
            </w:r>
            <w:r>
              <w:rPr/>
              <w:t xml:space="preserve"> and </w:t>
            </w:r>
            <w:r>
              <w:rPr>
                <w:i/>
              </w:rPr>
              <w:t>Re Direct Lending Income Feeder Fund Ltd (in Official Liquidation)</w:t>
            </w:r>
            <w:r>
              <w:rPr/>
              <w:t xml:space="preserve"> [2025] CICA (Civ) 19 determined that, </w:t>
            </w:r>
            <w:r>
              <w:rPr>
                <w:i/>
              </w:rPr>
              <w:t>inter alia</w:t>
            </w:r>
            <w:r>
              <w:rPr/>
              <w:t xml:space="preserve">, in the Cayman Islands: (a) the English case of </w:t>
            </w:r>
            <w:r>
              <w:rPr>
                <w:i/>
              </w:rPr>
              <w:t xml:space="preserve">Houldsworth v City of Glasgow Bank </w:t>
            </w:r>
            <w:r>
              <w:rPr/>
              <w:t>(1880) 5 App Cas 317 HL remains part of Cayman Islands law; and (b) it prevents any person claiming damages for misrepresentations inducing subscription for shares from proving in a liquidation in respect of that claim until all non-member creditors have been paid or provided for, but permits them to prove thereafter. It is currently uncertain whether this case will be subject to an appeal to the Judicial Committee of the Privy Council.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Walkers</w:t>
            </w:r>
          </w:p>
        </w:tc>
        <w:tc>
          <w:tcPr>
            <w:tcW w:w="5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7.</w:t>
            </w:r>
          </w:p>
        </w:tc>
        <w:tc>
          <w:tcPr>
            <w:tcW w:w="10011" w:type="dxa"/>
            <w:tcBorders/>
            <w:vAlign w:val="center"/>
          </w:tcPr>
          <w:p>
            <w:pPr>
              <w:pStyle w:val="TableContents"/>
              <w:bidi w:val="0"/>
              <w:spacing w:before="0" w:after="283"/>
              <w:jc w:val="both"/>
              <w:rPr/>
            </w:pPr>
            <w:r>
              <w:rPr/>
              <w:t>The Company may be required to submit (or to cause to be submitted on its behalf) a notification and report to the Cayman Islands Department for International Tax Cooperation to ensure compliance with any obligations it may have under the laws of the Cayman Islands relating to the automatic exchange of financial account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8.</w:t>
            </w:r>
          </w:p>
        </w:tc>
        <w:tc>
          <w:tcPr>
            <w:tcW w:w="10024" w:type="dxa"/>
            <w:tcBorders/>
            <w:vAlign w:val="center"/>
          </w:tcPr>
          <w:p>
            <w:pPr>
              <w:pStyle w:val="TableContents"/>
              <w:bidi w:val="0"/>
              <w:spacing w:before="0" w:after="283"/>
              <w:jc w:val="both"/>
              <w:rPr/>
            </w:pPr>
            <w:r>
              <w:rPr/>
              <w:t>Any legal person that is a Cayman Islands company, limited liability company, limited liability partnership, limited partnership, foundation company, exempted limited partnership, or any other person that may be prescribed in regulations from time to time (a "</w:t>
            </w:r>
            <w:r>
              <w:rPr>
                <w:b/>
                <w:sz w:val="20"/>
              </w:rPr>
              <w:t>Legal Person</w:t>
            </w:r>
            <w:r>
              <w:rPr/>
              <w:t>") is subject to the Beneficial Ownership Transparency Act (as amended) of the Cayman Islands (the "</w:t>
            </w:r>
            <w:r>
              <w:rPr>
                <w:b/>
                <w:sz w:val="20"/>
              </w:rPr>
              <w:t>BOTA</w:t>
            </w:r>
            <w:r>
              <w:rPr/>
              <w:t>"). An interest that a person holds in a Legal Person consisting of a partnership interest or shares or voting rights in the Legal Person or ultimate effective control over the management of the Legal Person (a "</w:t>
            </w:r>
            <w:r>
              <w:rPr>
                <w:b/>
                <w:sz w:val="20"/>
              </w:rPr>
              <w:t>Relevant Interest</w:t>
            </w:r>
            <w:r>
              <w:rPr/>
              <w:t>") will be affected by a restrictions notice issued by the corporate services provider of such legal person pursuant to the BOTA (a "</w:t>
            </w:r>
            <w:r>
              <w:rPr>
                <w:b/>
                <w:sz w:val="20"/>
              </w:rPr>
              <w:t>Restrictions Notice</w:t>
            </w:r>
            <w:r>
              <w:rPr/>
              <w:t>") if such a notice is issued by the corporate services provider. If a Restrictions Notice is issued, then: (i) any transfer or agreement to transfer the Relevant Interest shall be void; (ii) no rights shall be exercisable in respect of the Relevant Interest; (iii) no Relevant Interests may be issued in respect of the Relevant Interest or pursuant to an offer made to the person holding the Relevant Interest; and (iv) except in a liquidation, an agreement to transfer certain rights in relation to the Relevant Interest shall be void.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9.</w:t>
            </w:r>
          </w:p>
        </w:tc>
        <w:tc>
          <w:tcPr>
            <w:tcW w:w="10021" w:type="dxa"/>
            <w:tcBorders/>
            <w:vAlign w:val="center"/>
          </w:tcPr>
          <w:p>
            <w:pPr>
              <w:pStyle w:val="TableContents"/>
              <w:bidi w:val="0"/>
              <w:spacing w:before="0" w:after="283"/>
              <w:jc w:val="both"/>
              <w:rPr/>
            </w:pPr>
            <w:r>
              <w:rPr/>
              <w:t>A Restrictions Notice issued in respect of a Relevant Interest that is subject to a pre-existing security interest granted to a third party who is not affiliated with the person who holds such Relevant Interest, shall not take effect. In deciding whether to send a Restrictions Notice, a corporate service provider shall have regard to the effect of the notice on the rights of persons in respect of the Relevant Interest, including third parties, persons with a security interest over the Relevant Interest, registered shareholders and other beneficial owners. Further, a corporate services provider shall, by notice, withdraw a Restrictions Notice if the corporate services provider discovers that the rights of a third party in respect of a Relevant Interest are being unfairly affected by the Restrictions Notice.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10.</w:t>
            </w:r>
          </w:p>
        </w:tc>
        <w:tc>
          <w:tcPr>
            <w:tcW w:w="9895" w:type="dxa"/>
            <w:tcBorders/>
            <w:vAlign w:val="center"/>
          </w:tcPr>
          <w:p>
            <w:pPr>
              <w:pStyle w:val="TableContents"/>
              <w:bidi w:val="0"/>
              <w:spacing w:before="0" w:after="283"/>
              <w:jc w:val="both"/>
              <w:rPr/>
            </w:pPr>
            <w:r>
              <w:rPr/>
              <w:t>The Grand Court may, on an application by any person aggrieved by a decision of a corporate services provider to issue a Restrictions Notice, make an order giving directions for the purpose of protecting the rights of third parties, persons with a security interest over a Relevant Interest, shareholders or other beneficial owners in respect of a relevant interest, if the Court is satisfied that a restrictions notice unfairly affects those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tm2622534d1_ex10-1.htm"/>
      <w:bookmarkStart w:id="7" w:name="kstm2622534d1_ex101"/>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August 6, 2026, between YXT.COM GROUP HOLDING LIMITED, an exempted company incorporated with limited liability under the laws of the Cayman Islands, whose ADSs are listed on the Nasdaq Global Market under the symbol “YXT”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ADS(s)</w:t>
      </w:r>
      <w:r>
        <w:rPr>
          <w:rFonts w:ascii="Times New Roman;Times;Serif" w:hAnsi="Times New Roman;Times;Serif"/>
          <w:b w:val="false"/>
          <w:i w:val="false"/>
          <w:caps w:val="false"/>
          <w:smallCaps w:val="false"/>
          <w:sz w:val="20"/>
        </w:rPr>
        <w:t>” means American Depositary Shares issued pursuant to the Deposit Agreement (as defined below), each representing thirty (30)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at the Closing and (ii) the Company’s obligations to deliver the Securities, in each case, at the Closing have been satisfied or waived, but in no event later than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hereof (or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hereof if this Agreement is signed on a day that is not a Trading Day or after 4:00 p.m. (New York City time) and before midnight (New York City time) on a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Cayman Islands Counsel</w:t>
      </w:r>
      <w:r>
        <w:rPr>
          <w:rFonts w:ascii="Times New Roman;Times;Serif" w:hAnsi="Times New Roman;Times;Serif"/>
          <w:b w:val="false"/>
          <w:i w:val="false"/>
          <w:caps w:val="false"/>
          <w:smallCaps w:val="false"/>
          <w:sz w:val="20"/>
        </w:rPr>
        <w:t>” means Walkers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PRC Counsel</w:t>
      </w:r>
      <w:r>
        <w:rPr>
          <w:rFonts w:ascii="Times New Roman;Times;Serif" w:hAnsi="Times New Roman;Times;Serif"/>
          <w:b w:val="false"/>
          <w:i w:val="false"/>
          <w:caps w:val="false"/>
          <w:smallCaps w:val="false"/>
          <w:sz w:val="20"/>
        </w:rPr>
        <w:t>” means Global Law Office, located at 15th/16th Floor, Tower 1, China Central Place, 81 Jianguo Road, Chaoyang District, Beijing, PRC 100025.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U.S. Counsel</w:t>
      </w:r>
      <w:r>
        <w:rPr>
          <w:rFonts w:ascii="Times New Roman;Times;Serif" w:hAnsi="Times New Roman;Times;Serif"/>
          <w:b w:val="false"/>
          <w:i w:val="false"/>
          <w:caps w:val="false"/>
          <w:smallCaps w:val="false"/>
          <w:sz w:val="20"/>
        </w:rPr>
        <w:t>” means Loeb &amp; Loeb LLP, located at 345 Park Avenue, New York, NY 10154.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dated as of August 15, 2024 (as so amended and as further amended and supplemented from time to time) among the Company, the Depositary and the owners and holders of ADSs from time to time, as such agreement may be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means The Bank of New York Mellon Corporation, as depositary under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shall have the meaning ascribed to such term in Section 2.2(a)(iii).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xml:space="preserve">” means the issuance of (a) ADSs, Ordinary Shares, restricted share units or options to employees, officers, or directors of the Company pursuant to any share or option plan duly adopted for such purpose, which issuance was approved by a majority of the non-employee members of the Board of Directors or a majority of the members of a committee of non-employee directors established for such purpose for services rendered to the Company, (b) ADSs or Ordinary Shares upon the exercise or exchange of or conversion of any Securities issued hereunder, and/or securities exercisable or exchangeable for or convertible into ADSs or Ordinary Shares issued and outstanding on the date of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securities have not been amended since the date of this Agreement to increase the number of such securities or to decrease the exercise price, exchange price or conversion price of such securities or to extend the term of such securities (other than in connection with ordinary share splits or combinations), and (c) securities issued pursuant to acquisitions or strategic transactions approved by a majority of the disinterested directors of the Company,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securities are issued as “restricted securities” (as defined in Rule 144) and carry no registration rights that require or permit the filing of any registration statement in connection therewith during the prohibition period in Section 4.10(a) herein, and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ascribed to such term in Section 3.1(z).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xml:space="preserve">” means, collectively, the lock-up agreements, dated as of the date hereof, executed by each of the directors and officers of the Company in favor of the Company and the Placement Agent, in the form of </w:t>
      </w:r>
      <w:r>
        <w:rPr>
          <w:rFonts w:ascii="Times New Roman;Times;Serif" w:hAnsi="Times New Roman;Times;Serif"/>
          <w:b w:val="false"/>
          <w:i w:val="false"/>
          <w:caps w:val="false"/>
          <w:smallCaps w:val="false"/>
          <w:sz w:val="20"/>
          <w:u w:val="single"/>
        </w:rPr>
        <w:t xml:space="preserve">Exhibit A </w:t>
      </w:r>
      <w:r>
        <w:rPr>
          <w:rFonts w:ascii="Times New Roman;Times;Serif" w:hAnsi="Times New Roman;Times;Serif"/>
          <w:b w:val="false"/>
          <w:i w:val="false"/>
          <w:caps w:val="false"/>
          <w:smallCaps w:val="false"/>
          <w:sz w:val="20"/>
        </w:rPr>
        <w:t>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Class A ordinary shares of the Company, $0.0001 par value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or ADSs, including, without limitation, any debt, preferred share, right, option, warrant or other instrument that is at any time convertible into or exercisable or exchangeable for, or otherwise entitles the holder thereof to receive, Ordinary Shares or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 ADS Purchase Price” equals $7.00, subject to adjustment for reverse and forward share splits, share dividends, share combinations and other similar transactions of the ADSs and/or the Ordinary Shares, as applicable, that occur after the date of this Agreement and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means Univest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prospectus filed pursuant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the supplement to the Prospectus complying with Rule 424(b) of the Securities Act that is filed with the Commission and delivered by the Company to each Purchaser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effective registration statement with the Commission on Form F-3 (File No. 333-292185), as amended, which registers the sale of the ADSs to the Purchasers, including all information, documents and exhibits filed with or incorporated by reference into such registration statement, and includes any Rule 462(b)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462(b) Registration Statement</w:t>
      </w:r>
      <w:r>
        <w:rPr>
          <w:rFonts w:ascii="Times New Roman;Times;Serif" w:hAnsi="Times New Roman;Times;Serif"/>
          <w:b w:val="false"/>
          <w:i w:val="false"/>
          <w:caps w:val="false"/>
          <w:smallCaps w:val="false"/>
          <w:sz w:val="20"/>
        </w:rPr>
        <w:t>” means any registration statement prepared by the Company registering additional Securities, which was filed with the Commission on or prior to the date hereof and became automatically effective pursuant to Rule 462(b) promulgated by the Commission pursuant to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ADSs and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Shares” means the Ordinary Shares represented by the ADSs issued or issuable to the Purchasers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Ordinary Shares and/or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ADSs, each ADS representing thirty (30) Ordinary Shares, purchased hereunder as specified below such Purchaser’s name on the signature page of this Agreement and next to the heading “Subscription Amount,”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any subsidiary of the Company as set forth on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and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ADSs and/or the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and the Lock-Up Agreements, and all exhibits and schedules thereto and hereto and any other documents or agreements executed in connection with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have the meaning ascribed to such term in Section 4.10(b).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substantially concurrent with the execution and delivery of this Agreement by the parties hereto, the Company agrees to sell, and the Purchasers, severally and not jointly, agree to purchase, the number of ADSs set forth under the heading “ADSs” on such Purchaser’s signature page hereto, at the Per ADS Purchase Price and in an aggregate amount equal to such Purchaser’s Subscription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provide the Placement Agent and/or the Purchaser with its wire instructions in writing at least one Business Day prior to the Closing Date. Prior to the Closing Date, the Purchaser shall deliver the Subscription Amount by wire transfer of immediately available funds in U.S. dollars to the bank account designated by the Placement Agent, in which case the Placement Agent shall disburse the funds received from the Purchasers to the Company and any other applicable payees in accordance with a duly executed flow of funds memorandum for the Closing. Unless otherwise directed by the Placement Agent, on the Closing Date, the Company shall issue and deposit the ADSs with the Depositary, and thereafter direct and procure the Depositary to deliver the number of ADSs fully paid for by the Purchaser to the account(s) at the Placement Agent identified by each Purchaser. Upon receipt of such ADSs, the Placement Agent shall promptly electronically deliver such ADSs to the applicable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if at any time on or after the time of execution of this Agreement by the Company and an applicable Purchaser through, and including the time immediately prior to, the Closing (the “</w:t>
      </w:r>
      <w:r>
        <w:rPr>
          <w:rFonts w:ascii="Times New Roman;Times;Serif" w:hAnsi="Times New Roman;Times;Serif"/>
          <w:b w:val="false"/>
          <w:i w:val="false"/>
          <w:caps w:val="false"/>
          <w:smallCaps w:val="false"/>
          <w:sz w:val="20"/>
          <w:u w:val="single"/>
        </w:rPr>
        <w:t>Pre-Settlement Period</w:t>
      </w:r>
      <w:r>
        <w:rPr>
          <w:rFonts w:ascii="Times New Roman;Times;Serif" w:hAnsi="Times New Roman;Times;Serif"/>
          <w:b w:val="false"/>
          <w:i w:val="false"/>
          <w:caps w:val="false"/>
          <w:smallCaps w:val="false"/>
          <w:sz w:val="20"/>
        </w:rPr>
        <w:t>”), such Purchaser sells to any Person all, or any portion, of any ADSs to be issued hereunder to such Purchaser at the Closing (collectively, the “</w:t>
      </w:r>
      <w:r>
        <w:rPr>
          <w:rFonts w:ascii="Times New Roman;Times;Serif" w:hAnsi="Times New Roman;Times;Serif"/>
          <w:b w:val="false"/>
          <w:i w:val="false"/>
          <w:caps w:val="false"/>
          <w:smallCaps w:val="false"/>
          <w:sz w:val="20"/>
          <w:u w:val="single"/>
        </w:rPr>
        <w:t>Pre-Settlement ADSs</w:t>
      </w:r>
      <w:r>
        <w:rPr>
          <w:rFonts w:ascii="Times New Roman;Times;Serif" w:hAnsi="Times New Roman;Times;Serif"/>
          <w:b w:val="false"/>
          <w:i w:val="false"/>
          <w:caps w:val="false"/>
          <w:smallCaps w:val="false"/>
          <w:sz w:val="20"/>
        </w:rPr>
        <w:t xml:space="preserve">”), such Person shall, automatically hereunder (without any additional required actions by such Purchaser or the Company), be deemed to be a Purchaser under this Agreement unconditionally bound to purchase, and the Company shall be deemed unconditionally bound to sell, such Pre-Settlement ADSs to such Person at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be required to deliver any Pre-Settlement ADS to such Purchaser prior to the Company’s receipt of the Subscription Amount for such Pre-Settlement ADSs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further, that the Company hereby acknowledges and agrees that the foregoing shall not constitute a representation or covenant by such Purchaser as to whether or not such Purchaser will elect to sell any Pre-Settlement ADSs during the Pre-Settlement Period. The decision to sell any ADS will be made in the sole discretion of such Purchaser from time to time, including during the Pre-Settlement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2311"/>
        <w:gridCol w:w="7620"/>
      </w:tblGrid>
      <w:tr>
        <w:trPr/>
        <w:tc>
          <w:tcPr>
            <w:tcW w:w="27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pPr>
            <w:r>
              <w:rPr/>
              <w:t>2.2</w:t>
            </w:r>
          </w:p>
        </w:tc>
        <w:tc>
          <w:tcPr>
            <w:tcW w:w="7620" w:type="dxa"/>
            <w:tcBorders/>
            <w:vAlign w:val="center"/>
          </w:tcPr>
          <w:p>
            <w:pPr>
              <w:pStyle w:val="TableContents"/>
              <w:bidi w:val="0"/>
              <w:spacing w:before="0" w:after="283"/>
              <w:jc w:val="both"/>
              <w:rPr/>
            </w:pPr>
            <w:r>
              <w:rPr>
                <w:u w:val="single"/>
              </w:rPr>
              <w:t>Deliveries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487"/>
        <w:gridCol w:w="9638"/>
      </w:tblGrid>
      <w:tr>
        <w:trPr/>
        <w:tc>
          <w:tcPr>
            <w:tcW w:w="8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(i)</w:t>
            </w:r>
          </w:p>
        </w:tc>
        <w:tc>
          <w:tcPr>
            <w:tcW w:w="9638" w:type="dxa"/>
            <w:tcBorders/>
            <w:vAlign w:val="center"/>
          </w:tcPr>
          <w:p>
            <w:pPr>
              <w:pStyle w:val="TableContents"/>
              <w:bidi w:val="0"/>
              <w:spacing w:before="0" w:after="283"/>
              <w:jc w:val="both"/>
              <w:rPr/>
            </w:pPr>
            <w:r>
              <w:rPr/>
              <w:t>this Agreement duly executed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Company’s wire instructions, on Company letterhead and executed by the Company’s Chief Executive Officer or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copy of the irrevocable instructions to the Depositary instructing the Depositary to deliver through the facilities of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ADSs equal to the portion of such Purchaser’s Subscription Amount applicable to ADSs divided by the Per ADS Purchase Price, registered in the name of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Prospectus and Prospectus Supplement (which may be delivered in accordance with Rule 172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duly executed 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legal opinion of Company U.S. Counsel, in form reasonably acceptable to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legal opinion of Company PRC Counsel, in form reasonably acceptable to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legal opinion of Company Cayman Islands Counsel, in form reasonably acceptable to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 Officer’s Certificate, in form and substance reasonably satisfactory to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Chief Financial Officer’s Certificate, in form and substance reasonably satisfactory to the Placement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Secretary’s Certificate, in form and substance reasonably satisfactory to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436"/>
        <w:gridCol w:w="9697"/>
      </w:tblGrid>
      <w:tr>
        <w:trPr/>
        <w:tc>
          <w:tcPr>
            <w:tcW w:w="7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(i)</w:t>
            </w:r>
          </w:p>
        </w:tc>
        <w:tc>
          <w:tcPr>
            <w:tcW w:w="9697" w:type="dxa"/>
            <w:tcBorders/>
            <w:vAlign w:val="center"/>
          </w:tcPr>
          <w:p>
            <w:pPr>
              <w:pStyle w:val="TableContents"/>
              <w:bidi w:val="0"/>
              <w:spacing w:before="0" w:after="283"/>
              <w:jc w:val="both"/>
              <w:rPr/>
            </w:pPr>
            <w:r>
              <w:rPr/>
              <w:t>this Agreement duly executed by such Purchaser;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with respect to the Securities purchased by such Purchaser.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431"/>
        <w:gridCol w:w="8605"/>
      </w:tblGrid>
      <w:tr>
        <w:trPr/>
        <w:tc>
          <w:tcPr>
            <w:tcW w:w="16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pPr>
            <w:r>
              <w:rPr/>
              <w:t>2.3</w:t>
            </w:r>
          </w:p>
        </w:tc>
        <w:tc>
          <w:tcPr>
            <w:tcW w:w="8605" w:type="dxa"/>
            <w:tcBorders/>
            <w:vAlign w:val="center"/>
          </w:tcPr>
          <w:p>
            <w:pPr>
              <w:pStyle w:val="TableContents"/>
              <w:bidi w:val="0"/>
              <w:spacing w:before="0" w:after="283"/>
              <w:jc w:val="both"/>
              <w:rPr/>
            </w:pPr>
            <w:r>
              <w:rPr>
                <w:u w:val="single"/>
              </w:rPr>
              <w:t>Closing Conditions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since the date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the date hereof to the Closing Date, trading in the ADSs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after the date of this Agreement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Disclosure Schedules, which Disclosure Schedules shall be deemed a part hereof and shall qualify any representation made herein to the extent of the disclosure contained in the corresponding section of the Disclosure Schedules, the Company hereby makes the following representations and warranties to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All of the direct and indirect subsidiaries of the Company are set forth on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The Company owns, directly or indirectly, all of the share capital or other equity interests of each Subsidiary, free and clear of any Liens, and all of the issued and outstanding share capital of each Subsidiary are validly issued and are fully paid, non-assessable and free of preemptive and similar rights to subscribe for or purchase securities. There are no outstanding options, warrants, scrips or rights to subscribe to, calls or commitments of any character whatsoever relating to, or securities, rights or obligations convertible into or exercisable or exchangeable for, or giving any Person any right to subscribe for or acquire, any capital shares or equity interests, as applicable, of any Subsidiary, or contracts, commitments, understandings or arrangements by which any Subsidiary is or may become bound to issue capital shares or equity interests, as applicable. If the Company has no subsidiaries, all other references to the Subsidiaries or any of them in the Transaction Documents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if applicable under the laws of the jurisdiction in which they are formed, in good standing (or the equivalent thereof)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memorandum of association, articles of association, certificate or articles of incorporation, bylaws or other organizational or charter documents. Each of the Company and the Subsidiaries is duly qualified to conduct business and is in good standing (or the equivalent thereof)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a committee of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Except as set forth in the SEC Reports, the Registration Statement, the Prospectus and the Prospectus Supplement,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memorandum of association, articles of association,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the laws of the Cayman Islands, the People’s Republic of China and any foreign,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Except as set forth in the SEC Reports, the Registration Statement, the Prospectus and the Prospectus Supplement, neither the Company nor any Subsidiary is required to obtain any consent, waiver, authorization or order of, give any notice to, or make any filing or registration with, any court or other federal, state (including state blue sky laws),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any required notice and/or application(s) to and approvals by each applicable Trading Market for the issuance and sale of the Securities and the listing of the ADSs for trading thereon in the time and manner required thereby, (iv) such filings as are required under U.S. state securities laws, and (v) such filings as may be required under the applicable rules of the Financial Industry Regulatory Authority, Inc.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Securities; Registration</w:t>
      </w:r>
      <w:r>
        <w:rPr>
          <w:rFonts w:ascii="Times New Roman;Times;Serif" w:hAnsi="Times New Roman;Times;Serif"/>
          <w:b w:val="false"/>
          <w:i w:val="false"/>
          <w:caps w:val="false"/>
          <w:smallCaps w:val="false"/>
          <w:sz w:val="20"/>
        </w:rPr>
        <w:t>. The Shares and the ADSs are duly authorized and, when issued and paid for in accordance with the applicable Transaction Documents, will be duly and validly issued, fully paid and non-assessable, free and clear of all Liens imposed by the Company. The Company has reserved from its duly authorized share capital the maximum number of Ordinary Shares issuable pursuant to this Agreement. The Securities are not and will not be subject to the preemptive rights of any holders of any security of the Company or similar contractual rights granted by the Company, except as have been waived. The Company has prepared and filed the Registration Statement in conformity with the requirements of the Securities Act, which became effective on June 29, 2026, including the Prospectus, and such amendments and supplements thereto as may have been required to the date of this Agreement. The Company and the Depositary have prepared and filed with the Commission a registration statement relating to ADSs on Form F-6 (File No. 333-280774) for registration under the Securities Act (the “</w:t>
      </w:r>
      <w:r>
        <w:rPr>
          <w:rFonts w:ascii="Times New Roman;Times;Serif" w:hAnsi="Times New Roman;Times;Serif"/>
          <w:b w:val="false"/>
          <w:i w:val="false"/>
          <w:caps w:val="false"/>
          <w:smallCaps w:val="false"/>
          <w:sz w:val="20"/>
          <w:u w:val="single"/>
        </w:rPr>
        <w:t>ADS Registration Statement</w:t>
      </w:r>
      <w:r>
        <w:rPr>
          <w:rFonts w:ascii="Times New Roman;Times;Serif" w:hAnsi="Times New Roman;Times;Serif"/>
          <w:b w:val="false"/>
          <w:i w:val="false"/>
          <w:caps w:val="false"/>
          <w:smallCaps w:val="false"/>
          <w:sz w:val="20"/>
        </w:rPr>
        <w:t>”). The Registration Statement and ADS Registration Statement are effective under the Securities Act and no stop order preventing or suspending the effectiveness of the Registration Statement or suspending or preventing the use of the Prospectus or the Prospectus Supplement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ADS Registration Statement and any amendments thereto became effective as determined under the Securities Act,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Prospectus Supplement and any amendments or supplements thereto, at the time the Prospectus or the Prospectus Supplement, as applicable,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F-3. The Company is eligible to use Form F-3 under the Securities Act and it meets the transaction requirements as set forth in General Instruction I.B.5 of Form 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herein to the Prospectus and the Prospectus Supplement shall be deemed to refer to and include the documents incorporated by reference therein as of the date of filing thereof; and any reference herein to any “amendment” or “supplement” with respect to any of the Prospectus and the Prospectus Supplement shall be deemed to refer to and include (i) the filing of any document with the Commission incorporated or deemed to be incorporated therein by reference after the date of filing of such Prospectus or Prospectus Supplement and (ii) any such document so filed. All references in this Agreement to the Registration Statement, the Prospectus, the Prospectus Supplement, or any amendments or supplements to any of the foregoing, shall be deemed to include any copy thereof filed with the Commission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as of the date hereof is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which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shall also include the number of ADSs or Ordinary Shares owned beneficially, and of record, by Affiliates of the Company as of the date hereof. The Company has not issued any share capital since its most recently filed public report filed under the Exchange Act, other than pursuant to the exercise of employee share options under the Company’s share option plans, the issuance of Ordinary Shares to employees pursuant to the Company’s employee share purchase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ADSs, Ordinary Shares, or the capital stock of any Subsidiary, or contracts, commitments, understandings or arrangements by which the Company or any Subsidiary is or may become bound to issue additional ADSs, Ordinary Shares or Ordinary Share Equivalents or share capital of any Subsidiary. The issuance and sale of the Securities will not obligate the Company or any Subsidiary to issue ADSs, Ordinary Shares or other securities to any Person (other than the Purchasers) and will not result in a right of any holder of Company securities to adjust the exercise, conversion, exchange or reset price under any of such securities. Except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there are no outstanding securities or instruments of the Company or any Subsidiary with any provision that adjusts the exercise, conversion, exchange or reset price of such security or instrument upon an issuance of securities by the Company or any Subsidiary (other than in connection with a stock split, recapitalization, or similar transaction). Except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share” plans or agreements or any similar plan or agreement. All of the outstanding share capital of the Company is duly authorized, validly issued, fully paid and non-assessable, have been issued in compliance with all applicable foreign, federal and state securities laws where applicable, and none of such outstanding shares was issued in violation of any preemptive rights or similar rights to subscribe for or purchase securities. As of the Closing, no further approval or authorization of any shareholder or the Board of Directors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1 year preceding the date hereof (or such shorter period as the Company was required by law or regulation to file such materials)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except as set forth on Schedule 3.1(i), (i) there has been no event, occurrence or development that has had or that would reasonably be expected to result in a Material Adverse Effect, (ii) neither the Company nor any Subsidiary has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share capital and (v) neither the Company nor any Subsidiary has issued any equity securities to any officer, director or Affiliate, except pursuant to existing Company share option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on Schedule 3.1(j), there is no action, suit, inquiry, notice of violation, proceeding or investigation pending or, to the knowledge of the Company or any Subsidiary,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or the Securities or (ii) would, if there were an unfavorable decision, have or reasonably be expected to result in a Material Adverse Effect. Except as set forth in the SEC Reports, neither the Company nor any Subsidiary, nor any director or officer thereof, is or has been the subject of any Action involving a claim of violation of or liability under the laws of the Cayman Islands, the People’s Republic of China, U.S. federal or state securities laws or a claim of breach of fiduciary duty which would, if there were an unfavorable decision, have or reasonably be expected to result in a Material Adverse Effect. There has not been, and to the knowledge of the Company, there is not pending or contemplated, any investigation by the Commission or the Cayman Islands or People’s Republic of China equivalent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(including the laws of the Cayman Islands and the People’s Republic of China)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Except as set forth in the SEC Reports,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(including the laws of the Cayman Islands and the People’s Republic of China),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certificates, authorizations or permits would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foreign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 None of the Intellectual Property Rights used by the Company or any of its Subsidiaries in their respective businesses has been obtained or is being used by the Company or such Subsidiary in violation of any contractual obligation binding on the Company or any of its Subsidiaries in violation of the rights of any person. The Company and its Subsidiaries have taken reasonable steps in accordance with normal industry practice to protect and maintain the Intellectual Property Rights, including the execution of appropriate nondisclosure and invention assignment agreements, except as would not, individually or in the aggregate, reasonably be expected to have a Material Adverse Effect. The consummation of the transactions contemplated by this Agreement will not result in the loss or impairment of, or payment of, and additional amounts with respect to, nor require the consent of, any other person regarding the Company’s or any of its Subsidiaries’ right to own or use any of the Intellectual Property Rights as owned or used in the conduct of such party’s business as currently conducted, except as would not, individually or in the aggregate, reasonably be expected to have a Material Adverse Effect. To the knowledge of the Company and its Subsidiaries, no employee of any of the Company or its Subsidiaries is the subject of any pending claim or proceeding involving a violation of any term of any employment contract, invention disclosure agreement, patent disclosure agreement, noncompetition agreement, non-solicitation agreement, nondisclosure agreement or restrictive covenant to or with a former employer, where the basis of such violation relates to such employee’s employment with the Company or its Subsidiaries or actions undertaken by the employee while employed with the Company or its Subsidiaries.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on Schedule 3.1(q),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or a Subsidiary and (iii) other employee benefits, including share option agreements under any share option plan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Except as set forth in the SEC Reports, the Company and the Subsidiaries are in material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Form 20-F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Form 20-F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Except as set forth in the Prospectus and the Prospectus Supplement, and except for compensation to be paid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(for the avoidance of doubt, the foregoing shall not include any fees and/or commissions owed by the Company to the Depositary). Other than for Persons engaged by any Purchaser, if any,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No Person has any right to cause the Company or any Subsidiary to effect the registration under the Securities Act of any securities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ADSs are registered pursuant to Section 12(b) or 12(g) of the Exchange Act, and the Company has taken no action designed to, or which to its knowledge is likely to have the effect of, terminating the registration of the ADSs under the Exchange Act nor has the Company received any notification that the Commission is contemplating terminating such registration. Except as disclosed in the SEC Reports, including the Company’s receipt of a minimum bid price deficiency notification dated January 26, 2026 and Nasdaq’s subsequent confirmation that the Company regained compliance with Nasdaq Listing Rule 5450(a)(1), the Company has not received any notice from the Nasdaq Global Market indicating that the Company is not currently in compliance with its listing or maintenance requirements. The Company is, and has no reason to believe that it will not in the foreseeable future continue to be, in compliance with all such listing and maintenance requirements. The ADSs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memorandum of association, articles of association (or similar charter documents) or the laws of its jurisdiction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and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(12)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Times;Serif" w:hAnsi="Times New Roman;Times;Serif"/>
          <w:b w:val="false"/>
          <w:i w:val="false"/>
          <w:caps w:val="false"/>
          <w:smallCaps w:val="false"/>
          <w:sz w:val="20"/>
          <w:u w:val="single"/>
        </w:rPr>
        <w:t>Schedule 3.1(z)</w:t>
      </w:r>
      <w:r>
        <w:rPr>
          <w:rFonts w:ascii="Times New Roman;Times;Serif" w:hAnsi="Times New Roman;Times;Serif"/>
          <w:b w:val="false"/>
          <w:i w:val="false"/>
          <w:caps w:val="false"/>
          <w:smallCaps w:val="false"/>
          <w:sz w:val="20"/>
        </w:rPr>
        <w:t> sets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by the Company in excess of $50,000 (other than trade accounts payable incurred in the ordinary course of business), (y) all guaranties, endorsements and other contingent obligations in respect of indebtedness of others to third parties,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Tax Compliance</w:t>
      </w:r>
      <w:r>
        <w:rPr>
          <w:rFonts w:ascii="Times New Roman;Times;Serif" w:hAnsi="Times New Roman;Times;Serif"/>
          <w:b w:val="false"/>
          <w:i w:val="false"/>
          <w:caps w:val="false"/>
          <w:smallCaps w:val="false"/>
          <w:sz w:val="20"/>
        </w:rPr>
        <w:t xml:space="preserve">. Except for matters that would not, individually or in the aggregate, have or reasonably be expected to result in a Material Adverse Effect, the Company and its Subsidiaries each (i) has made or filed, or secured all extensions for the filing of, all United States federal, state and local income and all foreign (including Cayman Islands and the People’s Republic of China) income and franchise tax returns, reports and declarations required by any jurisdiction to which it is subject, (ii) has paid all taxes and other governmental assessments and charges, fines or penalties that are material in amount, shown or determined to be due on such returns, reports and declarations, other than those listed on </w:t>
      </w:r>
      <w:r>
        <w:rPr>
          <w:rFonts w:ascii="Times New Roman;Times;Serif" w:hAnsi="Times New Roman;Times;Serif"/>
          <w:b w:val="false"/>
          <w:i w:val="false"/>
          <w:caps w:val="false"/>
          <w:smallCaps w:val="false"/>
          <w:sz w:val="20"/>
          <w:u w:val="single"/>
        </w:rPr>
        <w:t>Schedule 3.1(aa)</w:t>
      </w:r>
      <w:r>
        <w:rPr>
          <w:rFonts w:ascii="Times New Roman;Times;Serif" w:hAnsi="Times New Roman;Times;Serif"/>
          <w:b w:val="false"/>
          <w:i w:val="false"/>
          <w:caps w:val="false"/>
          <w:smallCaps w:val="false"/>
          <w:sz w:val="20"/>
        </w:rPr>
        <w:t xml:space="preserve"> hereto which are being contested in good faith and for which adequate reserves have been provided and (iii) has set aside on its financial statements provision reasonably adequate for the payment of all material tax liability of which has not been finally determined and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or any foreign equivalent.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independent registered public accounting firms are as set forth in the Prospectus. To the knowledge and belief of the Company, (i) each of such accounting firms is a registered public accounting firm as required by the Exchange Act and (ii) the current accounting firm shall express its opinion with respect to the financial statements to be included in the Company’s next Report on Form 20-F for the fiscal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Anything in this Agreement or elsewhere herein to the contrary notwithstanding (except for Sections 3.2(f) and 4.12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and/or ADSs,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was granted (i) in accordance with the terms of the Company’s stock option plan and (ii) with an exercise price at least equal to the fair market value of the Ordinary Share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the Subsidiaries or their financial results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(i)(x) To the Company’s knowledge,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except as would not, individually or in the aggregate, have a Material Adverse Effect,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the Anti-Money Laundering Law of the People’s Republic of China, as amended, the Anti-Money Laundering Regulations of the Cayman Islands,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Securities Act Compliance</w:t>
      </w:r>
      <w:r>
        <w:rPr>
          <w:rFonts w:ascii="Times New Roman;Times;Serif" w:hAnsi="Times New Roman;Times;Serif"/>
          <w:b w:val="false"/>
          <w:i w:val="false"/>
          <w:caps w:val="false"/>
          <w:smallCaps w:val="false"/>
          <w:sz w:val="20"/>
        </w:rPr>
        <w:t>. The Registration Statement complies, and the Prospectus and any further amendments or supplements to the Registration Statement or the Prospectus will comply, in all material respects, with the applicable provisions of the Securities Act. Each part of the Registration Statement, when such part became effective, did not contain an untrue statement of a material fact or omit to state a material fact required to be stated therein or necessary to make the statements therein not misleading. The Prospectus, as of its filing date, and any amendment thereof or supplement thereto, did not and will not contain an untrue statement of a material fact or omit to state a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There has been no storage, generation, transportation, handling, use, treatment, disposal, discharge, emission, contamination, release or other activity involving any kind of hazardous, toxic or other wastes, pollutants, contaminants, petroleum products or other hazardous or toxic substances, chemicals or materials (“</w:t>
      </w:r>
      <w:r>
        <w:rPr>
          <w:rFonts w:ascii="Times New Roman;Times;Serif" w:hAnsi="Times New Roman;Times;Serif"/>
          <w:b w:val="false"/>
          <w:i w:val="false"/>
          <w:caps w:val="false"/>
          <w:smallCaps w:val="false"/>
          <w:sz w:val="20"/>
          <w:u w:val="single"/>
        </w:rPr>
        <w:t>Hazardous Substances</w:t>
      </w:r>
      <w:r>
        <w:rPr>
          <w:rFonts w:ascii="Times New Roman;Times;Serif" w:hAnsi="Times New Roman;Times;Serif"/>
          <w:b w:val="false"/>
          <w:i w:val="false"/>
          <w:caps w:val="false"/>
          <w:smallCaps w:val="false"/>
          <w:sz w:val="20"/>
        </w:rPr>
        <w:t>”) by, due to, on behalf of, or caused by the Company or any Subsidiary (or, to the Company’s knowledge, any other entity for whose acts or omissions the Company is or may be liable) upon any property now or previously owned, operated, used or leased by the Company or any Subsidiary, or upon any other property, that would be a violation of or give rise to any liability under any applicable law, rule, regulation, order, judgment, decree or permit, common law provision or other legally binding standard relating to pollution or protection of human health and the environment (“</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except for violations and liabilities which, individually or in the aggregate, would not have a Material Adverse Effect. There has been no disposal, discharge, emission contamination or other release of any kind at, onto or from any such property or into the environment surrounding any such property of any Hazardous Substances with respect to which the Company or any Subsidiary has knowledge, except as would not, individually or in the aggregate, have a Material Adverse Effect. There is no pending or, to the best of the Company’s knowledge, threatened administrative, regulatory or judicial action, claim or notice of noncompliance or violation, investigation or proceedings relating to any Environmental Law against the Company or any Subsidiary, except as would not, individually or in the aggregate, have a Material Adverse Effect. No property of the Company or any Subsidiary is subject to any Lien under any Environmental Law. Except as disclosed in the Prospectus, neither the Company nor any Subsidiary is subject to any order, decree, agreement or other individualized legal requirement related to any Environmental Law, that, in any case (individually or in the aggregate), would have a Material Adverse Effect. The Company and each Subsidiary has all permits, authorizations and approvals required under any applicable Environmental Laws and are each in compliance with their requirements, except as would not, individually or in the aggregate, have a Material Adverse Effect. The Company has no reason to believe that costs and liabilities associated with Environmental Laws would,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Promotional Stock Activities</w:t>
      </w:r>
      <w:r>
        <w:rPr>
          <w:rFonts w:ascii="Times New Roman;Times;Serif" w:hAnsi="Times New Roman;Times;Serif"/>
          <w:b w:val="false"/>
          <w:i w:val="false"/>
          <w:caps w:val="false"/>
          <w:smallCaps w:val="false"/>
          <w:sz w:val="20"/>
        </w:rPr>
        <w:t>. Neither the Company nor any Subsidiary of the Company and none of their respective officers, directors, managers, affiliates or agents have engaged in any stock promotional activity that could give rise to a complaint, inquiry, or trading suspension by the SEC alleging: (i) a violation of the anti-fraud provisions of the federal securities laws; (ii) violations of the anti-touting provisions; (iii) improper “gun-jumping”; or (iv) promotion without proper disclosure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(i) The Company and the Subsidiaries are in compliance in all material respects, and to the knowledge of the Company at all times during the last three (3) years were in compliance in all material respects, with all applicable data privacy and security laws and regulations, including the Personal Information Protection Law, the Data Security Law and the Cybersecurity Law of the People’s Republic of China and the measures promulgated thereunder governing cross-border transfers of data, and the European Union General Data Protection Regulation (“</w:t>
      </w:r>
      <w:r>
        <w:rPr>
          <w:rFonts w:ascii="Times New Roman;Times;Serif" w:hAnsi="Times New Roman;Times;Serif"/>
          <w:b w:val="false"/>
          <w:i w:val="false"/>
          <w:caps w:val="false"/>
          <w:smallCaps w:val="false"/>
          <w:sz w:val="20"/>
          <w:u w:val="single"/>
        </w:rPr>
        <w:t>GDPR</w:t>
      </w:r>
      <w:r>
        <w:rPr>
          <w:rFonts w:ascii="Times New Roman;Times;Serif" w:hAnsi="Times New Roman;Times;Serif"/>
          <w:b w:val="false"/>
          <w:i w:val="false"/>
          <w:caps w:val="false"/>
          <w:smallCaps w:val="false"/>
          <w:sz w:val="20"/>
        </w:rPr>
        <w:t>”) (EU 2016/679) (collectively, “</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Times;Serif" w:hAnsi="Times New Roman;Times;Serif"/>
          <w:b w:val="false"/>
          <w:i w:val="false"/>
          <w:caps w:val="false"/>
          <w:smallCaps w:val="false"/>
          <w:sz w:val="20"/>
          <w:u w:val="single"/>
        </w:rPr>
        <w:t>Policies</w:t>
      </w:r>
      <w:r>
        <w:rPr>
          <w:rFonts w:ascii="Times New Roman;Times;Serif" w:hAnsi="Times New Roman;Times;Serif"/>
          <w:b w:val="false"/>
          <w:i w:val="false"/>
          <w:caps w:val="false"/>
          <w:smallCaps w:val="false"/>
          <w:sz w:val="20"/>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“Personal Data”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(ss) Foreign Private Issuer</w:t>
      </w:r>
      <w:r>
        <w:rPr>
          <w:rFonts w:ascii="Times New Roman;Times;Serif" w:hAnsi="Times New Roman;Times;Serif"/>
          <w:b w:val="false"/>
          <w:i w:val="false"/>
          <w:caps w:val="false"/>
          <w:smallCaps w:val="false"/>
          <w:sz w:val="20"/>
        </w:rPr>
        <w:t>. The Company is a “foreign private issuer” as defined in Rule 405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(tt) Jurisdiction</w:t>
      </w:r>
      <w:r>
        <w:rPr>
          <w:rFonts w:ascii="Times New Roman;Times;Serif" w:hAnsi="Times New Roman;Times;Serif"/>
          <w:b w:val="false"/>
          <w:i w:val="false"/>
          <w:caps w:val="false"/>
          <w:smallCaps w:val="false"/>
          <w:sz w:val="20"/>
        </w:rPr>
        <w:t>. The Company has the power to submit, and has legally, validly, effectively and irrevocably submitted, to the jurisdiction of the Specified Courts (as defined in Section 5.9), and has the power to designate, appoint and empower, and has legally, validly and effectively designated, appointed and empowered, an agent for service of process in any suit or proceeding based on or arising under this Agreement in any Specified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Securities, it was, and as of the date hereof it is, an “accredited investor” as defined in Rule 501(a)(1), (a)(2), (a)(3), (a)(7), (a)(8), (a)(9), (a)(12), or (a)(13)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definitive pricing and other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Independent Advice</w:t>
      </w:r>
      <w:r>
        <w:rPr>
          <w:rFonts w:ascii="Times New Roman;Times;Serif" w:hAnsi="Times New Roman;Times;Serif"/>
          <w:b w:val="false"/>
          <w:i w:val="false"/>
          <w:caps w:val="false"/>
          <w:smallCaps w:val="false"/>
          <w:sz w:val="20"/>
        </w:rPr>
        <w:t>. Each Purchaser understands that nothing in this Agreement or any other materials presented by or on behalf of the Company to the Purchaser in connection with the purchase of the Securities constitutes legal, tax or investment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except as set forth in this Agreement,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IV.</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 OF THE PARTIES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618"/>
        <w:gridCol w:w="9514"/>
      </w:tblGrid>
      <w:tr>
        <w:trPr/>
        <w:tc>
          <w:tcPr>
            <w:tcW w:w="7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pPr>
            <w:r>
              <w:rPr/>
              <w:t>4.1</w:t>
            </w:r>
          </w:p>
        </w:tc>
        <w:tc>
          <w:tcPr>
            <w:tcW w:w="9514" w:type="dxa"/>
            <w:tcBorders/>
            <w:vAlign w:val="center"/>
          </w:tcPr>
          <w:p>
            <w:pPr>
              <w:pStyle w:val="TableContents"/>
              <w:bidi w:val="0"/>
              <w:spacing w:before="0" w:after="283"/>
              <w:jc w:val="both"/>
              <w:rPr/>
            </w:pPr>
            <w:r>
              <w:rPr>
                <w:u w:val="single"/>
              </w:rPr>
              <w:t>Legends</w:t>
            </w:r>
            <w:r>
              <w:rPr/>
              <w:t>. The ADSs shall be issued free of legends.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Furnishing of Information; Public Information</w:t>
      </w:r>
      <w:r>
        <w:rPr>
          <w:rFonts w:ascii="Times New Roman;Times;Serif" w:hAnsi="Times New Roman;Times;Serif"/>
          <w:b w:val="false"/>
          <w:i w:val="false"/>
          <w:caps w:val="false"/>
          <w:smallCaps w:val="false"/>
          <w:sz w:val="20"/>
        </w:rPr>
        <w:t xml:space="preserve">. Until the earlier of (i) the time that no Purchaser owns Securities and (ii) the second anniversary of the Closing Date, the Company covenants to maintain the registration of the ADSs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except in the event that the Company consummates: (i) any transaction or series of related transactions as a result of which any Person (together with its Affiliates) acquires then outstanding securities of the Company representing more than fifty percent (50%) of the voting control of the Company; (ii) a merger or reorganization of the Company with one or more other entities in which the Company is not the surviving entity; or (iii) a sale of all or substantially all of the assets of the Company, where the consummation of such transaction results in the Company no longer being subject to the reporting requirements of the Exchange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only in connection with subsections (i) and (iii) of this Section 4.2, that such limitation shall not apply on or after the date as of which the Purchasers may sell all of their Securities without restriction or limitation pursuant to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Report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xml:space="preserve">.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that the Company reasonably believes constitutes, material non-public information, unless prior thereto such Purchaser shall have entered into a written agreement with the Company regarding the confidentiality and use of such information including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Purchaser shall remain subject to applicable laws.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Report of Foreign Private Issuer on Form 6-K. The Company understands and confirms that each Purchaser shall be relying on the foregoing covenant in effecting transactions in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Securities hereunder for working capital purposes as set forth in the Registration Statement and Prospectus Supplement and shall not use such proceeds: (a) for the satisfaction of any portion of the Company’s debt (other than payment of trade payables in the ordinary course of the Company’s business and prior practices), (b) for the redemption of any ADSs, Ordinary Shares or Ordinary Share Equivalents, (c) for the settlement of any outstanding litigation or (d) in violation of FCPA or OFAC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a Purchaser Party in any capacity, or any of them or their respective Affiliates, by any shareholder of the Company who is not an Affiliate of such Purchaser Party, with respect to any of the transactions contemplated by the Transaction Documents (unless such action is based upon a material breach of such Purchaser Party’s representations, warranties or covenants under the Transaction Documents or any agreements or understandings such Purchaser Party may have with any such shareholder or any violations by such Purchaser Party of state or federal securities laws or any conduct by such Purchaser Party which is finally judicially determined to constitute fraud, gross negligence or willful misconduct). The Company shall indemnify each Purchaser Party, to the fullest extent permitted by applicable law, from and against any and all losses, claims, damages, liabilities, costs (including, without limitation, reasonable attorneys’ fees) and expenses, as incurred, caused by or based upon any untrue or alleged untrue statement of a material fact contained in the Registration Statement or any amendment thereto, any free writing prospectus, the Prospectus or any amendment or supplement thereto, or caused by or based upon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Listing of ADSs</w:t>
      </w:r>
      <w:r>
        <w:rPr>
          <w:rFonts w:ascii="Times New Roman;Times;Serif" w:hAnsi="Times New Roman;Times;Serif"/>
          <w:b w:val="false"/>
          <w:i w:val="false"/>
          <w:caps w:val="false"/>
          <w:smallCaps w:val="false"/>
          <w:sz w:val="20"/>
        </w:rPr>
        <w:t>. The Company hereby agrees to use commercially reasonable efforts to maintain the listing or quotation of the ADSs on a Trading Market. Nothing in this Section 4.9 shall prevent the Company from transferring the listing of the ADSs from one Trading Market to another Trading Market, including from the Nasdaq Global Market to the Nasdaq Capital Market. The Company further agrees, if the Company applies to have the ADSs traded on any other Trading Market, it will then include in such application all of the ADSs, and will take such other action as is necessary to cause all of the ADSs to be listed or quoted on such other Trading Market as promptly as possible. The Company will then take all action reasonably necessary to continue the listing and trading of its ADSs on a Trading Market and will comply in all material respects with the Company’s reporting, filing and other obligations under the bylaws or rules of the Trading Market. The Company agrees to use commercially reasonable efforts to maintain the eligibility of the ADSs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53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4.10  </w:t>
            </w:r>
          </w:p>
        </w:tc>
        <w:tc>
          <w:tcPr>
            <w:tcW w:w="2435" w:type="dxa"/>
            <w:tcBorders/>
            <w:vAlign w:val="center"/>
          </w:tcPr>
          <w:p>
            <w:pPr>
              <w:pStyle w:val="TableContents"/>
              <w:bidi w:val="0"/>
              <w:spacing w:before="0" w:after="283"/>
              <w:jc w:val="both"/>
              <w:rPr>
                <w:u w:val="single"/>
              </w:rPr>
            </w:pPr>
            <w:r>
              <w:rPr>
                <w:u w:val="single"/>
              </w:rPr>
              <w:t>Subsequent Equity Sales.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30 days after the Closing Date, neither the Company nor any Subsidiary shall (i) issue, enter into any agreement to issue or announce the issuance or proposed issuance of any ADSs, Ordinary Shares or Ordinary Share Equivalents or (ii) file or cause to be filed any registration statement or amendment or supplement thereto, other than (w) the Prospectus Supplement, (x) a registration statement on Form S-8 in connection with any employee benefit plan, (y) a registration statement on Form F-6, or any amendment thereto, relating to the ADSs, and (z) any amendment or supplement to the Registration Statement, and any report filed under the Exchange Act that is incorporated by reference therein, in each case that the Company is required to file under the Securities Act, the Exchange Act or the rules and regulations of the Commission. Any Purchaser shall be entitled to obtain injunctive relief against the Company to preclude any such issuance, which remedy shall be in addition to any right to collect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hereof until 30 days following the Closing Date, the Company shall be prohibited from effecting or entering into an agreement to effect any issuance by the Company or any of its Subsidiaries of ADSs, Ordinary Shares or Ordinary Share Equivalents (or a combination of units thereof) involving a Variable Rate Transaction. “</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means a transaction in which the Company (i) issues or sells any debt or equity securities that are convertible into, exchangeable or exercisable for, or include the right to receive additional ADSs or Ordinary Shares either (A) at a conversion price, exercise price or exchange rate or other price that is based upon and/or varies with the trading prices of or quotations for the ADSs and Ordinary Shares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ADSs or Ordinary Shares or (ii) enters into, or effects a transaction under, any agreement, including, but not limited to, an equity line of credit but excluding an “at-the-market” offering”, whereby the Company may issue securities at a future determined price, regardless of whether shares pursuant to such agreement have actually been issued and regardless of whether such agreement is subsequently cancelled. Any Purchaser shall be entitled to obtain injunctive relief against the Company to preclude any such issuance, which remedy shall be in addition to any right to collect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this Section 4.10 shall not apply in respect of an Exempt Issuance, except that no Variable Rate Transaction shall be an Exempt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the Transaction Documents)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 and in the case of a Purchaser that has implemented internal information barriers pursuant to an information controls policy to ‘wall off’ certain trading personnel, this Section 4.12 shall apply only with respect to activities of such walled-off trading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Reservations of Shares</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Ordinary Shares for the purpose of enabling the Company to issue ADSs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The Company shall not amend, modify, waive or terminate any provision of any of the Lock-Up Agreements without the prior written consent of the Placement Agent, except to extend the term of the lock-up period, and shall enforce the provisions of each Lock-Up Agreement in accordance with its terms. If any party to a Lock-Up Agreement breaches any provision of a Lock-Up Agreement, the Company shall promptly use its commercially reasonable efforts to seek specific performance of the terms of such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5th Trading Day following the date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Depositary fees (including, without limitation, any fees required for same-day processing of any instruction letter delivered by the Company to issue ADSs), stamp taxes and other taxes and duties levied in connection with the delivery of any ADSs to the Purchasers and shall reimburse the Purchasers for any fees charged to Purchasers by the Depositary in connection with the issuance or holding or sale of the ADSs and/or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xml:space="preserve">. No provision of this Agreement may be waived, modified, supplemented or amended except in a written instrument signed, in the case of an amendment, by the Company and Purchasers which purchased at least 50.1% in interest of the sum of the ADSs based on the initial Subscription Amounts hereunder (or, prior to the Closing the Company and each Purchaser), or, in the case of a waiver, by the party against whom enforcement of any such waived provision is sought;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any amendment, modification or waiver disproportionately and adversely impacts a Purchaser (or group of Purchasers), the consent of at least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transferee agrees in writing to be bound, with respect to the transferred Securities, by the provisions of the Transaction Documents that apply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The Placement Agent shall be a third party beneficiary of the representations and warranties of the Company in this Agreement and of the representations and warranties of the Purchasers in this Agreement, and of no other provision hereof. For the avoidance of doubt, the Placement Agent is not a beneficiary of Section 4.8, and the rights and obligations of the Company and the Placement Agent as between themselves are governed exclusively by the Placement Agency Agreement. This Agreement is intended for the benefit of the parties hereto and their respective successors and permitted assigns and is not for the benefit of, nor may any provision hereof be enforced by, any other Person, except as otherwise set forth in this Section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Governing Law; Agent for Process</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U.S. federal and New York state courts sitting in the Borough of Manhattan, City of New York (collectively, the “</w:t>
      </w:r>
      <w:r>
        <w:rPr>
          <w:rFonts w:ascii="Times New Roman;Times;Serif" w:hAnsi="Times New Roman;Times;Serif"/>
          <w:b w:val="false"/>
          <w:i w:val="false"/>
          <w:caps w:val="false"/>
          <w:smallCaps w:val="false"/>
          <w:sz w:val="20"/>
          <w:u w:val="single"/>
        </w:rPr>
        <w:t>Specified Courts</w:t>
      </w:r>
      <w:r>
        <w:rPr>
          <w:rFonts w:ascii="Times New Roman;Times;Serif" w:hAnsi="Times New Roman;Times;Serif"/>
          <w:b w:val="false"/>
          <w:i w:val="false"/>
          <w:caps w:val="false"/>
          <w:smallCaps w:val="false"/>
          <w:sz w:val="20"/>
        </w:rPr>
        <w:t>”). Each party hereby irrevocably submits to the exclusive jurisdiction of the Specified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 In addition to and without limiting the foregoing, the Company has appointed Cogency Global Inc. as its authorized agent (the “</w:t>
      </w:r>
      <w:r>
        <w:rPr>
          <w:rFonts w:ascii="Times New Roman;Times;Serif" w:hAnsi="Times New Roman;Times;Serif"/>
          <w:b w:val="false"/>
          <w:i w:val="false"/>
          <w:caps w:val="false"/>
          <w:smallCaps w:val="false"/>
          <w:sz w:val="20"/>
          <w:u w:val="single"/>
        </w:rPr>
        <w:t>Authorized Agent</w:t>
      </w:r>
      <w:r>
        <w:rPr>
          <w:rFonts w:ascii="Times New Roman;Times;Serif" w:hAnsi="Times New Roman;Times;Serif"/>
          <w:b w:val="false"/>
          <w:i w:val="false"/>
          <w:caps w:val="false"/>
          <w:smallCaps w:val="false"/>
          <w:sz w:val="20"/>
        </w:rPr>
        <w:t>”) upon whom process may be served in any suit, action or proceeding arising out of or based upon the Transaction Documents or the transactions contemplated herein which may be instituted in any Specified Court by any Purchaser, and expressly accept the non-exclusive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The Company hereby authorizes and directs the Authorized Agent to accept such service. Service of process upon the Authorized Agent shall be deemed, in every respect, effective service of process upon the Company. If the Authorized Agent shall cease to act as agent for service of process, the Company shall appoint, without unreasonable delay, another such agent in the United States, and notify you of such appointment. This paragraph shall survive any termination of this Agreement, in whole or in part. The Company agrees that a final judgment in any such action, proceeding or counterclaim brought in any such court shall be conclusive and binding upon the Company and may be enforced in any other courts to the jurisdiction of which the Company is or may be subject, by suit upon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by other electronic signing created on an electronic platform (such as DocuSign), or by digital signing (such as Adobe Sign), such signature shall create a valid and binding obligation of the party executing (or on whose behalf such signature is executed) with the same force and effect as if such “.pdf” or other electronic or digital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the legal counsel of the Placement Agent.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Ordinary Shares and ADSs in any Transaction Document shall be subject to adjustment for reverse and forward share splits, share dividends, share combinations and other similar transactions of the ADSs or Ordinary Shares that occur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Unless otherwise stated, all dollar amounts and references to “$” in this Agreement refer to the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7807" w:type="dxa"/>
        <w:jc w:val="left"/>
        <w:tblInd w:w="0" w:type="dxa"/>
        <w:tblLayout w:type="fixed"/>
        <w:tblCellMar>
          <w:top w:w="0" w:type="dxa"/>
          <w:left w:w="0" w:type="dxa"/>
          <w:bottom w:w="0" w:type="dxa"/>
          <w:right w:w="0" w:type="dxa"/>
        </w:tblCellMar>
      </w:tblPr>
      <w:tblGrid>
        <w:gridCol w:w="661"/>
        <w:gridCol w:w="3385"/>
        <w:gridCol w:w="67"/>
        <w:gridCol w:w="3210"/>
        <w:gridCol w:w="484"/>
      </w:tblGrid>
      <w:tr>
        <w:trPr/>
        <w:tc>
          <w:tcPr>
            <w:tcW w:w="4046"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YXT.COM GROUP HOLDING LIMITED</w:t>
            </w:r>
          </w:p>
        </w:tc>
        <w:tc>
          <w:tcPr>
            <w:tcW w:w="67"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Notice</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501-502, No. 78 East Jinshan Road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Huqiu District, Suzhou</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Jiangsu, 215011, People’s Republic of China</w:t>
            </w:r>
          </w:p>
        </w:tc>
      </w:tr>
      <w:tr>
        <w:trPr/>
        <w:tc>
          <w:tcPr>
            <w:tcW w:w="4046" w:type="dxa"/>
            <w:gridSpan w:val="2"/>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321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Xiaoyan Lu           </w:t>
            </w:r>
          </w:p>
        </w:tc>
        <w:tc>
          <w:tcPr>
            <w:tcW w:w="67" w:type="dxa"/>
            <w:tcBorders/>
            <w:vAlign w:val="center"/>
          </w:tcPr>
          <w:p>
            <w:pPr>
              <w:pStyle w:val="TableContents"/>
              <w:bidi w:val="0"/>
              <w:spacing w:before="0" w:after="283"/>
              <w:jc w:val="left"/>
              <w:rPr/>
            </w:pPr>
            <w:r>
              <w:rPr/>
              <w:t> </w:t>
            </w:r>
          </w:p>
        </w:tc>
        <w:tc>
          <w:tcPr>
            <w:tcW w:w="321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r>
      <w:tr>
        <w:trPr/>
        <w:tc>
          <w:tcPr>
            <w:tcW w:w="404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Xiaoyan Lu</w:t>
            </w:r>
          </w:p>
        </w:tc>
        <w:tc>
          <w:tcPr>
            <w:tcW w:w="67" w:type="dxa"/>
            <w:tcBorders/>
            <w:vAlign w:val="center"/>
          </w:tcPr>
          <w:p>
            <w:pPr>
              <w:pStyle w:val="TableContents"/>
              <w:bidi w:val="0"/>
              <w:spacing w:before="0" w:after="283"/>
              <w:jc w:val="left"/>
              <w:rPr/>
            </w:pPr>
            <w:r>
              <w:rPr/>
              <w:t> </w:t>
            </w:r>
          </w:p>
        </w:tc>
        <w:tc>
          <w:tcPr>
            <w:tcW w:w="3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484" w:type="dxa"/>
            <w:tcBorders/>
            <w:vAlign w:val="center"/>
          </w:tcPr>
          <w:p>
            <w:pPr>
              <w:pStyle w:val="TableContents"/>
              <w:bidi w:val="0"/>
              <w:spacing w:before="0" w:after="283"/>
              <w:jc w:val="left"/>
              <w:rPr/>
            </w:pPr>
            <w:r>
              <w:rPr/>
              <w:t> </w:t>
            </w:r>
          </w:p>
        </w:tc>
      </w:tr>
      <w:tr>
        <w:trPr/>
        <w:tc>
          <w:tcPr>
            <w:tcW w:w="404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 and Chief Executive Officer</w:t>
            </w:r>
          </w:p>
        </w:tc>
        <w:tc>
          <w:tcPr>
            <w:tcW w:w="67" w:type="dxa"/>
            <w:tcBorders/>
            <w:vAlign w:val="center"/>
          </w:tcPr>
          <w:p>
            <w:pPr>
              <w:pStyle w:val="TableContents"/>
              <w:bidi w:val="0"/>
              <w:spacing w:before="0" w:after="283"/>
              <w:jc w:val="left"/>
              <w:rPr/>
            </w:pPr>
            <w:r>
              <w:rPr/>
              <w:t> </w:t>
            </w:r>
          </w:p>
        </w:tc>
        <w:tc>
          <w:tcPr>
            <w:tcW w:w="321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r>
      <w:tr>
        <w:trPr/>
        <w:tc>
          <w:tcPr>
            <w:tcW w:w="4046" w:type="dxa"/>
            <w:gridSpan w:val="2"/>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321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r>
      <w:tr>
        <w:trPr/>
        <w:tc>
          <w:tcPr>
            <w:tcW w:w="4113"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a copy to (which shall not constitute notice)</w:t>
            </w:r>
            <w:r>
              <w:rPr>
                <w:rFonts w:ascii="Times New Roman;Times;Serif" w:hAnsi="Times New Roman;Times;Serif"/>
                <w:b w:val="false"/>
                <w:i w:val="false"/>
                <w:caps w:val="false"/>
                <w:smallCaps w:val="false"/>
                <w:sz w:val="20"/>
              </w:rPr>
              <w:t>:</w:t>
            </w:r>
          </w:p>
        </w:tc>
        <w:tc>
          <w:tcPr>
            <w:tcW w:w="321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283"/>
              <w:jc w:val="left"/>
              <w:rPr/>
            </w:pPr>
            <w:r>
              <w:rPr/>
              <w:t> </w:t>
            </w:r>
          </w:p>
        </w:tc>
        <w:tc>
          <w:tcPr>
            <w:tcW w:w="338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321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COMPANY SIGNATURE PAGE TO YXT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SIGNATURE PAGES TO YXT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Securities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Subscription Amount: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8" w:name="tm2622534d1_ex10-2.htm"/>
      <w:bookmarkStart w:id="9" w:name="kstm2622534d1_ex102"/>
      <w:bookmarkEnd w:id="8"/>
      <w:bookmarkEnd w:id="9"/>
      <w:r>
        <w:rPr/>
        <w:t> </w:t>
      </w:r>
      <w:r>
        <w:br w:type="page"/>
      </w:r>
    </w:p>
    <w:p>
      <w:pPr>
        <w:pStyle w:val="TextBody"/>
        <w:bidi w:val="0"/>
        <w:jc w:val="right"/>
        <w:rPr>
          <w:b/>
        </w:rPr>
      </w:pPr>
      <w:r>
        <w:rPr>
          <w:b/>
        </w:rPr>
        <w:t>Exhibit 10.2</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GROUP HOLDING LIMITED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Re:</w:t>
            </w:r>
          </w:p>
        </w:tc>
        <w:tc>
          <w:tcPr>
            <w:tcW w:w="9857" w:type="dxa"/>
            <w:tcBorders/>
            <w:vAlign w:val="center"/>
          </w:tcPr>
          <w:p>
            <w:pPr>
              <w:pStyle w:val="TableContents"/>
              <w:bidi w:val="0"/>
              <w:spacing w:before="0" w:after="283"/>
              <w:jc w:val="both"/>
              <w:rPr/>
            </w:pPr>
            <w:r>
              <w:rPr/>
              <w:t>Securities Purchase Agreement, dated as of August 6, 2026 (the “</w:t>
            </w:r>
            <w:r>
              <w:rPr>
                <w:u w:val="single"/>
              </w:rPr>
              <w:t>Agreement</w:t>
            </w:r>
            <w:r>
              <w:rPr/>
              <w:t>”), between YXT.COM GROUP HOLDING LIMITED, a Cayman Islands exempted company (the “</w:t>
            </w:r>
            <w:r>
              <w:rPr>
                <w:u w:val="single"/>
              </w:rPr>
              <w:t>Company</w:t>
            </w:r>
            <w:r>
              <w:rPr/>
              <w:t>”) and the purchasers signatory thereto (each a “</w:t>
            </w:r>
            <w:r>
              <w:rPr>
                <w:u w:val="single"/>
              </w:rPr>
              <w:t>Purchaser</w:t>
            </w:r>
            <w:r>
              <w:rPr/>
              <w:t>”, and collectively, the “</w:t>
            </w:r>
            <w:r>
              <w:rPr>
                <w:u w:val="single"/>
              </w:rPr>
              <w:t>Purchasers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irrevocably agrees with the Company that, from the date hereof until thirty (30) days following the closing of the offering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of securities by the Company as described in the Agreement (such period, the “</w:t>
      </w:r>
      <w:r>
        <w:rPr>
          <w:rFonts w:ascii="Times New Roman;Times;Serif" w:hAnsi="Times New Roman;Times;Serif"/>
          <w:b w:val="false"/>
          <w:i w:val="false"/>
          <w:caps w:val="false"/>
          <w:smallCaps w:val="false"/>
          <w:sz w:val="20"/>
          <w:u w:val="single"/>
        </w:rPr>
        <w:t>Restriction Period</w:t>
      </w:r>
      <w:r>
        <w:rPr>
          <w:rFonts w:ascii="Times New Roman;Times;Serif" w:hAnsi="Times New Roman;Times;Serif"/>
          <w:b w:val="false"/>
          <w:i w:val="false"/>
          <w:caps w:val="false"/>
          <w:smallCaps w:val="false"/>
          <w:sz w:val="20"/>
        </w:rPr>
        <w:t>”) for which Offering Univest Securities LLC (the “</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is acting as exclusive placement agent of the Company, the undersigned will not, without the prior written consent of the Placement Agent,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with respect to, any Ordinary Shares and/or ADSs of the Company or securities convertible, exchangeable or exercisable into or for Ordinary Shares and/or ADSs of the Company beneficially owned, held or hereafter acquired by the undersigned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set forth on the signature page hereto, or make any demand for or exercise any right or cause to be filed a registration, including any amendments thereto, with respect to the registration of any Ordinary Shares and/or ADSs or Ordinary Share Equivalents or publicly disclose the intention to do any of the foregoing. Beneficial ownership shall be calculated in accordance with Section 13(d)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the Securities provided that (1) the Company receives a signed lock-up letter agreement (in the form of this letter agreement (the “</w:t>
      </w:r>
      <w:r>
        <w:rPr>
          <w:rFonts w:ascii="Times New Roman;Times;Serif" w:hAnsi="Times New Roman;Times;Serif"/>
          <w:b w:val="false"/>
          <w:i w:val="false"/>
          <w:caps w:val="false"/>
          <w:smallCaps w:val="false"/>
          <w:sz w:val="20"/>
          <w:u w:val="single"/>
        </w:rPr>
        <w:t>Letter Agreement</w:t>
      </w:r>
      <w:r>
        <w:rPr>
          <w:rFonts w:ascii="Times New Roman;Times;Serif" w:hAnsi="Times New Roman;Times;Serif"/>
          <w:b w:val="false"/>
          <w:i w:val="false"/>
          <w:caps w:val="false"/>
          <w:smallCaps w:val="false"/>
          <w:sz w:val="20"/>
        </w:rPr>
        <w: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and (4) neither the undersigned nor any donee, trustee, distributee or transferee, as the case may be, otherwise voluntarily effects any public filing or report regarding such transfers, with respect to transfer: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588"/>
        <w:gridCol w:w="9473"/>
      </w:tblGrid>
      <w:tr>
        <w:trPr/>
        <w:tc>
          <w:tcPr>
            <w:tcW w:w="14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pPr>
            <w:r>
              <w:rPr/>
              <w:t>i)</w:t>
            </w:r>
          </w:p>
        </w:tc>
        <w:tc>
          <w:tcPr>
            <w:tcW w:w="9473" w:type="dxa"/>
            <w:tcBorders/>
            <w:vAlign w:val="center"/>
          </w:tcPr>
          <w:p>
            <w:pPr>
              <w:pStyle w:val="TableContents"/>
              <w:bidi w:val="0"/>
              <w:spacing w:before="0" w:after="283"/>
              <w:jc w:val="both"/>
              <w:rPr/>
            </w:pPr>
            <w:r>
              <w:rPr/>
              <w:t xml:space="preserve">as a </w:t>
            </w:r>
            <w:r>
              <w:rPr>
                <w:i/>
              </w:rPr>
              <w:t xml:space="preserve">bona fide </w:t>
            </w:r>
            <w:r>
              <w:rPr/>
              <w:t>gift or gifts;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ii)</w:t>
            </w:r>
          </w:p>
        </w:tc>
        <w:tc>
          <w:tcPr>
            <w:tcW w:w="10004" w:type="dxa"/>
            <w:tcBorders/>
            <w:vAlign w:val="center"/>
          </w:tcPr>
          <w:p>
            <w:pPr>
              <w:pStyle w:val="TableContents"/>
              <w:bidi w:val="0"/>
              <w:spacing w:before="0" w:after="283"/>
              <w:jc w:val="both"/>
              <w:rPr/>
            </w:pPr>
            <w:r>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iii)</w:t>
            </w:r>
          </w:p>
        </w:tc>
        <w:tc>
          <w:tcPr>
            <w:tcW w:w="9929" w:type="dxa"/>
            <w:tcBorders/>
            <w:vAlign w:val="center"/>
          </w:tcPr>
          <w:p>
            <w:pPr>
              <w:pStyle w:val="TableContents"/>
              <w:bidi w:val="0"/>
              <w:spacing w:before="0" w:after="283"/>
              <w:jc w:val="both"/>
              <w:rPr/>
            </w:pPr>
            <w:r>
              <w:rPr/>
              <w:t>to any corporation, partnership, limited liability company, or other business entity all of the equity holders of which consist of the undersigned and/or the immediate family of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iv)</w:t>
            </w:r>
          </w:p>
        </w:tc>
        <w:tc>
          <w:tcPr>
            <w:tcW w:w="9948" w:type="dxa"/>
            <w:tcBorders/>
            <w:vAlign w:val="center"/>
          </w:tcPr>
          <w:p>
            <w:pPr>
              <w:pStyle w:val="TableContents"/>
              <w:bidi w:val="0"/>
              <w:spacing w:before="0" w:after="283"/>
              <w:jc w:val="both"/>
              <w:rPr/>
            </w:pPr>
            <w:r>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359"/>
        <w:gridCol w:w="9783"/>
      </w:tblGrid>
      <w:tr>
        <w:trPr/>
        <w:tc>
          <w:tcPr>
            <w:tcW w:w="6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v)</w:t>
            </w:r>
          </w:p>
        </w:tc>
        <w:tc>
          <w:tcPr>
            <w:tcW w:w="9783" w:type="dxa"/>
            <w:tcBorders/>
            <w:vAlign w:val="center"/>
          </w:tcPr>
          <w:p>
            <w:pPr>
              <w:pStyle w:val="TableContents"/>
              <w:bidi w:val="0"/>
              <w:spacing w:before="0" w:after="283"/>
              <w:jc w:val="both"/>
              <w:rPr/>
            </w:pPr>
            <w:r>
              <w:rPr/>
              <w:t>if the undersigned is a trust, to the beneficiary of such trust;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vi)</w:t>
            </w:r>
          </w:p>
        </w:tc>
        <w:tc>
          <w:tcPr>
            <w:tcW w:w="9922" w:type="dxa"/>
            <w:tcBorders/>
            <w:vAlign w:val="center"/>
          </w:tcPr>
          <w:p>
            <w:pPr>
              <w:pStyle w:val="TableContents"/>
              <w:bidi w:val="0"/>
              <w:spacing w:before="0" w:after="283"/>
              <w:jc w:val="both"/>
              <w:rPr/>
            </w:pPr>
            <w:r>
              <w:rPr/>
              <w:t>by will, other testamentary document or intestate succession to the legal representative, heir, beneficiary or a member of the immediate family of the undersigned,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vii)</w:t>
            </w:r>
          </w:p>
        </w:tc>
        <w:tc>
          <w:tcPr>
            <w:tcW w:w="9895" w:type="dxa"/>
            <w:tcBorders/>
            <w:vAlign w:val="center"/>
          </w:tcPr>
          <w:p>
            <w:pPr>
              <w:pStyle w:val="TableContents"/>
              <w:bidi w:val="0"/>
              <w:spacing w:before="0" w:after="283"/>
              <w:jc w:val="both"/>
              <w:rPr/>
            </w:pPr>
            <w:r>
              <w:rPr/>
              <w:t>by operation of law, such as pursuant to a qualified domestic order or in connection with a divorce settlement, provided that the transferee agrees to sign and deliver a lock-up agreement substantially in the form of this Letter Agreement for the balance of the Restriction Period, and provided further, that any filing under Section 13 or Section 16(a) of the Exchange Act that is required to be made during the Restriction Period as a result of such transfer shall include a statement that such transfer has occurred by operation of law,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2"/>
        <w:gridCol w:w="9836"/>
      </w:tblGrid>
      <w:tr>
        <w:trPr/>
        <w:tc>
          <w:tcPr>
            <w:tcW w:w="3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viii)</w:t>
            </w:r>
          </w:p>
        </w:tc>
        <w:tc>
          <w:tcPr>
            <w:tcW w:w="9836" w:type="dxa"/>
            <w:tcBorders/>
            <w:vAlign w:val="center"/>
          </w:tcPr>
          <w:p>
            <w:pPr>
              <w:pStyle w:val="TableContents"/>
              <w:bidi w:val="0"/>
              <w:spacing w:before="0" w:after="283"/>
              <w:jc w:val="both"/>
              <w:rPr/>
            </w:pPr>
            <w:r>
              <w:rPr/>
              <w:t>pursuant to a bona fide third party tender offer, merger, consolidation or other similar transaction made to all holders of the Ordinary Shares and/or ADSs of the Company involving a change of control (as defined below) of the Company after the closing of the Offering and approved by the Company’s board of directors; provided that in the event that the tender offer, merger, consolidation or other such transaction is not completed, the Securities owned by the undersigned shall remain subject to the restrictions contained in this Letter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the foregoing, this Letter Agreement shall not restrict the delivery of Ordinary Shares and/or ADSs to the undersigned upon (i) exercise of any options granted under any employee benefit plan of the Company; provided that any Ordinary Shares and/or ADSs or Securities acquired in connection with any such exercise will be subject to the restrictions set forth in this Letter Agreement, or (ii) the exercise of warrants; provided that such Ordinary Shares and/or ADSs delivered to the undersigned in connection with such exercise are subject to the restrictions set forth in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Ordinary Shares and/or ADSs are made pursuant to such plan during the Restriction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execution, delivery and performance of this Letter Agreement is a material inducement to the Company to complete the transactions contemplated by the Agreement, and of the Placement Agent to place the Offering, and that the Placement Agent shall be a third party beneficiary of this Letter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if the Agreement is not executed within 30 days of the date hereof, or if the Agreement (other than the provisions thereof which survive termination) shall terminate or be terminated prior to payment for and delivery of the securities to be sold thereunder, then this lock-up agreement shall be void and of no further force or effect. Whether or not the Offering actually occurs depends on a number of factors, including market conditions. Any Offering will only be made pursuant to an Agreement, the terms of which are subject to negotiation between the Company and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not be amended or otherwise modified in any respect without the written consent of each of the Company, the Placement Agent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any Purchaser and that no Purchaser is entitled to cast any votes on the matters herein contemplated and that no issuance or sale of the Securities is created or intended by virtue of this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binding on successors and assigns of the undersigned with respect to the Securities and any such successor or assign shall enter into a similar agreement for the benefit of the Company. This Letter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terms not otherwise defined in this Letter Agreement shall have the meanings set forth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in two or more counterparts, all of which when taken together may be considered one and the same agreement.</w:t>
      </w:r>
    </w:p>
    <w:p>
      <w:pPr>
        <w:pStyle w:val="TextBody"/>
        <w:bidi w:val="0"/>
        <w:spacing w:before="0" w:after="0"/>
        <w:ind w:left="0" w:right="0" w:hanging="0"/>
        <w:jc w:val="left"/>
        <w:rPr>
          <w:caps w:val="false"/>
          <w:smallCaps w:val="false"/>
        </w:rPr>
      </w:pPr>
      <w:r>
        <w:rPr>
          <w:caps w:val="false"/>
          <w:smallCaps w:val="false"/>
        </w:rPr>
        <w:t> </w:t>
      </w:r>
    </w:p>
    <w:tbl>
      <w:tblPr>
        <w:tblW w:w="2390" w:type="dxa"/>
        <w:jc w:val="left"/>
        <w:tblInd w:w="0" w:type="dxa"/>
        <w:tblLayout w:type="fixed"/>
        <w:tblCellMar>
          <w:top w:w="0" w:type="dxa"/>
          <w:left w:w="0" w:type="dxa"/>
          <w:bottom w:w="28" w:type="dxa"/>
          <w:right w:w="0" w:type="dxa"/>
        </w:tblCellMar>
      </w:tblPr>
      <w:tblGrid>
        <w:gridCol w:w="2315"/>
        <w:gridCol w:w="75"/>
      </w:tblGrid>
      <w:tr>
        <w:trPr/>
        <w:tc>
          <w:tcPr>
            <w:tcW w:w="23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 in Company, if any</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23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Company agrees to enforce the restrictions on transfer set forth in this Letter Agreement.</w:t>
      </w:r>
    </w:p>
    <w:p>
      <w:pPr>
        <w:pStyle w:val="TextBody"/>
        <w:bidi w:val="0"/>
        <w:spacing w:before="0" w:after="0"/>
        <w:ind w:left="0" w:right="0" w:hanging="0"/>
        <w:jc w:val="left"/>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1707"/>
        <w:gridCol w:w="1867"/>
        <w:gridCol w:w="75"/>
      </w:tblGrid>
      <w:tr>
        <w:trPr/>
        <w:tc>
          <w:tcPr>
            <w:tcW w:w="35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tc>
        <w:tc>
          <w:tcPr>
            <w:tcW w:w="75" w:type="dxa"/>
            <w:tcBorders/>
            <w:vAlign w:val="center"/>
          </w:tcPr>
          <w:p>
            <w:pPr>
              <w:pStyle w:val="TableContents"/>
              <w:bidi w:val="0"/>
              <w:spacing w:before="0" w:after="283"/>
              <w:jc w:val="left"/>
              <w:rPr/>
            </w:pPr>
            <w:r>
              <w:rPr/>
              <w:t> </w:t>
            </w:r>
          </w:p>
        </w:tc>
      </w:tr>
      <w:tr>
        <w:trPr/>
        <w:tc>
          <w:tcPr>
            <w:tcW w:w="35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7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6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35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10" w:name="tm2622534d1_ex99-1.htm"/>
      <w:bookmarkStart w:id="11" w:name="kstm2622534d1_ex991"/>
      <w:bookmarkEnd w:id="10"/>
      <w:bookmarkEnd w:id="11"/>
      <w:r>
        <w:rPr/>
        <w:t> </w:t>
      </w:r>
      <w:r>
        <w:br w:type="page"/>
      </w:r>
    </w:p>
    <w:p>
      <w:pPr>
        <w:pStyle w:val="TextBody"/>
        <w:bidi w:val="0"/>
        <w:jc w:val="right"/>
        <w:rPr>
          <w:sz w:val="20"/>
        </w:rPr>
      </w:pPr>
      <w:r>
        <w:rPr>
          <w:b/>
          <w:sz w:val="20"/>
        </w:rPr>
        <w:t>Exhibit 99.1</w:t>
      </w:r>
      <w:r>
        <w:rPr>
          <w:sz w:val="2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YXT.COM GROUP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501-502, No. 78 East Jinshan Road, Huqiu District, Suzhou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Jiangsu, 215011,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 or Madams: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lawyers of the People’s Republic of China (the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and are qualified to issue opinions on the PRC Laws. For the purpose of this opinion (the “</w:t>
      </w:r>
      <w:r>
        <w:rPr>
          <w:rFonts w:ascii="Times New Roman;Times;Serif" w:hAnsi="Times New Roman;Times;Serif"/>
          <w:b/>
          <w:i w:val="false"/>
          <w:caps w:val="false"/>
          <w:smallCaps w:val="false"/>
          <w:sz w:val="20"/>
        </w:rPr>
        <w:t>Opinion</w:t>
      </w:r>
      <w:r>
        <w:rPr>
          <w:rFonts w:ascii="Times New Roman;Times;Serif" w:hAnsi="Times New Roman;Times;Serif"/>
          <w:b w:val="false"/>
          <w:i w:val="false"/>
          <w:caps w:val="false"/>
          <w:smallCaps w:val="false"/>
          <w:sz w:val="20"/>
        </w:rPr>
        <w:t>”), the “PRC Laws” shall mean all officially published and publicly available laws, statutes, regulations, orders, decrees, guidelines, notices, circulars, announcements, and subordinate legislations of the PRC currently in effect as of the date of this Opinion, and shall not include the Laws of Hong Kong Special Administrative Region, the Macao Special Administrative Region and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PRC counsel for YXT.COM GROUP HOLDING LIMITED, a corporation organized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Prospectus Supplement to its registration statement on Form F-3 (File No. 333-292185), including all amendments or supplements thereto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filed with the U.S. Securities and Exchange Commission (the “</w:t>
      </w:r>
      <w:r>
        <w:rPr>
          <w:rFonts w:ascii="Times New Roman;Times;Serif" w:hAnsi="Times New Roman;Times;Serif"/>
          <w:b/>
          <w:i w:val="false"/>
          <w:caps w:val="false"/>
          <w:smallCaps w:val="false"/>
          <w:sz w:val="20"/>
        </w:rPr>
        <w:t>Filing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also delivered in connection with the offering and sale by the Company of 150,000 American depositary shares, each representing thirty (30) Class A ordinary shares of the Company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pursuant to (i) the securities purchase agreement, dated as of August 6, 2026, by and among the Company and the purchasers signatory thereto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(ii) the placement agency agreement, dated as of August 6, 2026, by and between the Company and Univest Securities, LLC (the “</w:t>
      </w:r>
      <w:r>
        <w:rPr>
          <w:rFonts w:ascii="Times New Roman;Times;Serif" w:hAnsi="Times New Roman;Times;Serif"/>
          <w:b/>
          <w:i w:val="false"/>
          <w:caps w:val="false"/>
          <w:smallCaps w:val="false"/>
          <w:sz w:val="20"/>
        </w:rPr>
        <w:t>Placement Agency Agreement</w:t>
      </w:r>
      <w:r>
        <w:rPr>
          <w:rFonts w:ascii="Times New Roman;Times;Serif" w:hAnsi="Times New Roman;Times;Serif"/>
          <w:b w:val="false"/>
          <w:i w:val="false"/>
          <w:caps w:val="false"/>
          <w:smallCaps w:val="false"/>
          <w:sz w:val="20"/>
        </w:rPr>
        <w:t>”), and (iii) the lock-up agreements, dated as of August 6, 2026, executed by each of the Company and the directors and officers of the Company (together with the Securities Purchase Agreement and the Placement Agency Agreement,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examined the originals and/or copies, certified or otherwise identified to our satisfaction, of documents provided to us by the Company and such other documents, corporate records, certificates issued by Governmental Authorities and officers of the Company and other instruments as we have deemed necessary or advisable for the purposes of rendering this Opinion (collectively,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Opinion shall have the respective meanings ascribed to them in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and for the purpose of rendering this Opinion, we have assumed, without further inquiry,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20"/>
              </w:rPr>
            </w:pPr>
            <w:r>
              <w:rPr>
                <w:sz w:val="20"/>
              </w:rPr>
              <w:t>(i)</w:t>
            </w:r>
          </w:p>
        </w:tc>
        <w:tc>
          <w:tcPr>
            <w:tcW w:w="9998" w:type="dxa"/>
            <w:tcBorders/>
            <w:vAlign w:val="center"/>
          </w:tcPr>
          <w:p>
            <w:pPr>
              <w:pStyle w:val="TableContents"/>
              <w:bidi w:val="0"/>
              <w:spacing w:before="0" w:after="283"/>
              <w:jc w:val="both"/>
              <w:rPr>
                <w:sz w:val="20"/>
              </w:rPr>
            </w:pPr>
            <w:r>
              <w:rPr>
                <w:sz w:val="20"/>
              </w:rPr>
              <w:t>the genuineness of all the signatures, seals and chops, the authenticity of the Documents submitted to us as originals and the conformity with authentic original documents submitted to us as copies and the authenticity of such originals;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(ii)</w:t>
            </w:r>
          </w:p>
        </w:tc>
        <w:tc>
          <w:tcPr>
            <w:tcW w:w="9937" w:type="dxa"/>
            <w:tcBorders/>
            <w:vAlign w:val="center"/>
          </w:tcPr>
          <w:p>
            <w:pPr>
              <w:pStyle w:val="TableContents"/>
              <w:bidi w:val="0"/>
              <w:spacing w:before="0" w:after="283"/>
              <w:jc w:val="both"/>
              <w:rPr>
                <w:sz w:val="20"/>
              </w:rPr>
            </w:pPr>
            <w:r>
              <w:rPr>
                <w:sz w:val="20"/>
              </w:rPr>
              <w:t>the truthfulness, accuracy, and completeness of the Documents, as well as the factual statements contained in the Documents, and the Documents and the factual statements contained therein are and will remain not misleading;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20"/>
              </w:rPr>
            </w:pPr>
            <w:r>
              <w:rPr>
                <w:sz w:val="20"/>
              </w:rPr>
              <w:t>(iii)</w:t>
            </w:r>
          </w:p>
        </w:tc>
        <w:tc>
          <w:tcPr>
            <w:tcW w:w="9878" w:type="dxa"/>
            <w:tcBorders/>
            <w:vAlign w:val="center"/>
          </w:tcPr>
          <w:p>
            <w:pPr>
              <w:pStyle w:val="TableContents"/>
              <w:bidi w:val="0"/>
              <w:spacing w:before="0" w:after="283"/>
              <w:jc w:val="both"/>
              <w:rPr>
                <w:sz w:val="20"/>
              </w:rPr>
            </w:pPr>
            <w:r>
              <w:rPr>
                <w:sz w:val="20"/>
              </w:rPr>
              <w:t>that the Documents provided to us remain in full force and effect up to the date of this Opinion and that none of the Documents has been revoked, amended, varied or supplemented except as otherwise indicated in such Documents;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20"/>
              </w:rPr>
            </w:pPr>
            <w:r>
              <w:rPr>
                <w:sz w:val="20"/>
              </w:rPr>
              <w:t>(iv)</w:t>
            </w:r>
          </w:p>
        </w:tc>
        <w:tc>
          <w:tcPr>
            <w:tcW w:w="9907" w:type="dxa"/>
            <w:tcBorders/>
            <w:vAlign w:val="center"/>
          </w:tcPr>
          <w:p>
            <w:pPr>
              <w:pStyle w:val="TableContents"/>
              <w:bidi w:val="0"/>
              <w:spacing w:before="0" w:after="283"/>
              <w:jc w:val="both"/>
              <w:rPr>
                <w:sz w:val="20"/>
              </w:rPr>
            </w:pPr>
            <w:r>
              <w:rPr>
                <w:sz w:val="20"/>
              </w:rPr>
              <w:t>that the information provided to us by the Company and its PRC subsidiaries, its VIE and VIE’s subsidiaries (collectively referred to as the “</w:t>
            </w:r>
            <w:r>
              <w:rPr>
                <w:b/>
                <w:sz w:val="20"/>
              </w:rPr>
              <w:t>PRC Operating Entities</w:t>
            </w:r>
            <w:r>
              <w:rPr>
                <w:sz w:val="20"/>
              </w:rPr>
              <w:t>”) in response to our enquiries for the purpose of this Opinion is true, accurate, complete and not misleading, and that the Company and the PRC Operating Entities have not withheld anything that, if disclosed to us, would reasonably cause us to alter this Opinion in whole or in part;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20"/>
              </w:rPr>
            </w:pPr>
            <w:r>
              <w:rPr>
                <w:sz w:val="20"/>
              </w:rPr>
              <w:t>(v)</w:t>
            </w:r>
          </w:p>
        </w:tc>
        <w:tc>
          <w:tcPr>
            <w:tcW w:w="9924" w:type="dxa"/>
            <w:tcBorders/>
            <w:vAlign w:val="center"/>
          </w:tcPr>
          <w:p>
            <w:pPr>
              <w:pStyle w:val="TableContents"/>
              <w:bidi w:val="0"/>
              <w:spacing w:before="0" w:after="283"/>
              <w:jc w:val="both"/>
              <w:rPr>
                <w:sz w:val="20"/>
              </w:rPr>
            </w:pPr>
            <w:r>
              <w:rPr>
                <w:sz w:val="20"/>
              </w:rPr>
              <w:t>all Governmental Authorizations and other official statements or documentation are obtained by lawful means in due course;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20"/>
              </w:rPr>
            </w:pPr>
            <w:r>
              <w:rPr>
                <w:sz w:val="20"/>
              </w:rPr>
              <w:t>(vi)</w:t>
            </w:r>
          </w:p>
        </w:tc>
        <w:tc>
          <w:tcPr>
            <w:tcW w:w="9889" w:type="dxa"/>
            <w:tcBorders/>
            <w:vAlign w:val="center"/>
          </w:tcPr>
          <w:p>
            <w:pPr>
              <w:pStyle w:val="TableContents"/>
              <w:bidi w:val="0"/>
              <w:spacing w:before="0" w:after="283"/>
              <w:jc w:val="both"/>
              <w:rPr>
                <w:sz w:val="20"/>
              </w:rPr>
            </w:pPr>
            <w:r>
              <w:rPr>
                <w:sz w:val="20"/>
              </w:rPr>
              <w:t>that each of the parties other than the PRC Operating Entities is duly organized, validly existing and in good standing under the laws of its jurisdiction of organization and/or incorporation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20"/>
              </w:rPr>
            </w:pPr>
            <w:r>
              <w:rPr>
                <w:sz w:val="20"/>
              </w:rPr>
              <w:t>(vii)</w:t>
            </w:r>
          </w:p>
        </w:tc>
        <w:tc>
          <w:tcPr>
            <w:tcW w:w="9841" w:type="dxa"/>
            <w:tcBorders/>
            <w:vAlign w:val="center"/>
          </w:tcPr>
          <w:p>
            <w:pPr>
              <w:pStyle w:val="TableContents"/>
              <w:bidi w:val="0"/>
              <w:spacing w:before="0" w:after="283"/>
              <w:jc w:val="both"/>
              <w:rPr>
                <w:sz w:val="20"/>
              </w:rPr>
            </w:pPr>
            <w:r>
              <w:rPr>
                <w:sz w:val="20"/>
              </w:rPr>
              <w:t>that all parties other than the PRC Operating Entities have the requisite power and authority to enter into, execute, deliver and perform all the Documents to which they are parties and have duly executed, delivered, performed, and will duly perform their obligations under all the Documents to which they are parties;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4"/>
        <w:gridCol w:w="9753"/>
      </w:tblGrid>
      <w:tr>
        <w:trPr/>
        <w:tc>
          <w:tcPr>
            <w:tcW w:w="3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20"/>
              </w:rPr>
            </w:pPr>
            <w:r>
              <w:rPr>
                <w:sz w:val="20"/>
              </w:rPr>
              <w:t>(viii)</w:t>
            </w:r>
          </w:p>
        </w:tc>
        <w:tc>
          <w:tcPr>
            <w:tcW w:w="9753" w:type="dxa"/>
            <w:tcBorders/>
            <w:vAlign w:val="center"/>
          </w:tcPr>
          <w:p>
            <w:pPr>
              <w:pStyle w:val="TableContents"/>
              <w:bidi w:val="0"/>
              <w:spacing w:before="0" w:after="283"/>
              <w:jc w:val="both"/>
              <w:rPr>
                <w:sz w:val="20"/>
              </w:rPr>
            </w:pPr>
            <w:r>
              <w:rPr>
                <w:sz w:val="20"/>
              </w:rPr>
              <w:t>all documents submitted to us are legal, valid, binding and enforceable under all such laws as govern or relate to them other than the PRC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rendering this Opinion, where important facts were not independently established to us, we have relied upon certificates issued by Governmental Authorities and representatives of the shareholders of the Company and the PRC Operating Entities with proper authority and upon representations made in or pursuant to the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as used in this Opinion are defined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Authorities</w:t>
      </w:r>
      <w:r>
        <w:rPr>
          <w:rFonts w:ascii="Times New Roman;Times;Serif" w:hAnsi="Times New Roman;Times;Serif"/>
          <w:b w:val="false"/>
          <w:i w:val="false"/>
          <w:caps w:val="false"/>
          <w:smallCaps w:val="false"/>
          <w:sz w:val="20"/>
        </w:rPr>
        <w:t>” means any national, provincial or local court, Governmental agency or body, stock exchange authorities or any other regulator in the PRC, and “</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Authorizations</w:t>
      </w:r>
      <w:r>
        <w:rPr>
          <w:rFonts w:ascii="Times New Roman;Times;Serif" w:hAnsi="Times New Roman;Times;Serif"/>
          <w:b w:val="false"/>
          <w:i w:val="false"/>
          <w:caps w:val="false"/>
          <w:smallCaps w:val="false"/>
          <w:sz w:val="20"/>
        </w:rPr>
        <w:t>” means licenses, consents, authorizations, permissions, declarations, approvals, orders, registrations, clearances, annual inspections, waivers, qualifications, certificates and permits from, and the reports to and filings with, Governmental Authorities pursuant to any applicable PRC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PRC Laws</w:t>
      </w:r>
      <w:r>
        <w:rPr>
          <w:rFonts w:ascii="Times New Roman;Times;Serif" w:hAnsi="Times New Roman;Times;Serif"/>
          <w:b w:val="false"/>
          <w:i w:val="false"/>
          <w:caps w:val="false"/>
          <w:smallCaps w:val="false"/>
          <w:sz w:val="20"/>
        </w:rPr>
        <w:t>” means all officially published and publicly available laws, statutes, regulations, rules, orders, decrees, guidelines, notices, circulars, announcements, judicial interpretations and subordinate legislations of the PRC currently in effect as of the date of this Opinion. For the purpose of this Opinion, the PRC Laws shall not include the laws of Hong Kong Special Administrative Region, the Macao Special Administrative Region and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but not otherwise defined shall have the same meanings as specified in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disclosures contained in the Prospectus Supplement and the qualifications set out below, we are of the opinion as of the issuance date of this Opinion that:</w:t>
      </w:r>
    </w:p>
    <w:p>
      <w:pPr>
        <w:pStyle w:val="TextBody"/>
        <w:bidi w:val="0"/>
        <w:spacing w:before="0" w:after="0"/>
        <w:ind w:left="0" w:right="0" w:hanging="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17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5195" w:type="dxa"/>
            <w:tcBorders/>
            <w:vAlign w:val="center"/>
          </w:tcPr>
          <w:p>
            <w:pPr>
              <w:pStyle w:val="TableContents"/>
              <w:bidi w:val="0"/>
              <w:spacing w:before="0" w:after="283"/>
              <w:jc w:val="both"/>
              <w:rPr>
                <w:sz w:val="20"/>
              </w:rPr>
            </w:pPr>
            <w:r>
              <w:rPr>
                <w:sz w:val="20"/>
              </w:rPr>
              <w:t>There is uncertainty as to whether the courts of the PRC, would: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20"/>
              </w:rPr>
            </w:pPr>
            <w:r>
              <w:rPr>
                <w:sz w:val="20"/>
              </w:rPr>
              <w:t>(1)</w:t>
            </w:r>
          </w:p>
        </w:tc>
        <w:tc>
          <w:tcPr>
            <w:tcW w:w="9952" w:type="dxa"/>
            <w:tcBorders/>
            <w:vAlign w:val="center"/>
          </w:tcPr>
          <w:p>
            <w:pPr>
              <w:pStyle w:val="TableContents"/>
              <w:bidi w:val="0"/>
              <w:spacing w:before="0" w:after="283"/>
              <w:jc w:val="both"/>
              <w:rPr>
                <w:sz w:val="20"/>
              </w:rPr>
            </w:pPr>
            <w:r>
              <w:rPr>
                <w:sz w:val="20"/>
              </w:rPr>
              <w:t>recognize or enforce judgments of United States courts obtained against the Company or its directors or officers predicated upon the civil liability provisions of the securities laws of the United States or any state in the United States;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20"/>
              </w:rPr>
            </w:pPr>
            <w:r>
              <w:rPr>
                <w:sz w:val="20"/>
              </w:rPr>
              <w:t>(2)</w:t>
            </w:r>
          </w:p>
        </w:tc>
        <w:tc>
          <w:tcPr>
            <w:tcW w:w="9947" w:type="dxa"/>
            <w:tcBorders/>
            <w:vAlign w:val="center"/>
          </w:tcPr>
          <w:p>
            <w:pPr>
              <w:pStyle w:val="TableContents"/>
              <w:bidi w:val="0"/>
              <w:spacing w:before="0" w:after="283"/>
              <w:jc w:val="both"/>
              <w:rPr>
                <w:sz w:val="20"/>
              </w:rPr>
            </w:pPr>
            <w:r>
              <w:rPr>
                <w:sz w:val="20"/>
              </w:rPr>
              <w:t>entertain original actions brought in each respective jurisdiction against the Company or its directors or officers predicated upon the securities laws of the United States or any state in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20"/>
              </w:rPr>
            </w:pPr>
            <w:r>
              <w:rPr>
                <w:sz w:val="20"/>
              </w:rPr>
              <w:t>2.</w:t>
            </w:r>
          </w:p>
        </w:tc>
        <w:tc>
          <w:tcPr>
            <w:tcW w:w="10039" w:type="dxa"/>
            <w:tcBorders/>
            <w:vAlign w:val="center"/>
          </w:tcPr>
          <w:p>
            <w:pPr>
              <w:pStyle w:val="TableContents"/>
              <w:bidi w:val="0"/>
              <w:spacing w:before="0" w:after="283"/>
              <w:jc w:val="both"/>
              <w:rPr>
                <w:sz w:val="20"/>
              </w:rPr>
            </w:pPr>
            <w:r>
              <w:rPr>
                <w:sz w:val="20"/>
              </w:rPr>
              <w:t>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the Company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the Company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ADSs or Class A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20"/>
              </w:rPr>
            </w:pPr>
            <w:r>
              <w:rPr>
                <w:sz w:val="20"/>
              </w:rPr>
              <w:t>(a)</w:t>
            </w:r>
          </w:p>
        </w:tc>
        <w:tc>
          <w:tcPr>
            <w:tcW w:w="9984" w:type="dxa"/>
            <w:tcBorders/>
            <w:vAlign w:val="center"/>
          </w:tcPr>
          <w:p>
            <w:pPr>
              <w:pStyle w:val="TableContents"/>
              <w:bidi w:val="0"/>
              <w:spacing w:before="0" w:after="283"/>
              <w:jc w:val="both"/>
              <w:rPr>
                <w:sz w:val="20"/>
              </w:rPr>
            </w:pPr>
            <w:r>
              <w:rPr>
                <w:sz w:val="20"/>
              </w:rPr>
              <w:t>This Opinion is rendered only with respect to the PRC Laws and we have made no investigations in any other jurisdiction and no opinion is expressed or implied as to the laws of any other jurisdiction. PRC Laws as used in this Opinion refers to PRC Laws publicly available and currently in force as of the date of this Opinion and there is no assurance that any of such PRC Laws will not be changed, amended, replaced or revoked in the immediate future or in the longer term with or without retroactive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20"/>
              </w:rPr>
            </w:pPr>
            <w:r>
              <w:rPr>
                <w:sz w:val="20"/>
              </w:rPr>
              <w:t>(b)</w:t>
            </w:r>
          </w:p>
        </w:tc>
        <w:tc>
          <w:tcPr>
            <w:tcW w:w="9928" w:type="dxa"/>
            <w:tcBorders/>
            <w:vAlign w:val="center"/>
          </w:tcPr>
          <w:p>
            <w:pPr>
              <w:pStyle w:val="TableContents"/>
              <w:bidi w:val="0"/>
              <w:spacing w:before="0" w:after="283"/>
              <w:jc w:val="both"/>
              <w:rPr>
                <w:sz w:val="20"/>
              </w:rPr>
            </w:pPr>
            <w:r>
              <w:rPr>
                <w:sz w:val="20"/>
              </w:rPr>
              <w:t>This Opinion is given only as to, and based on, circumstances and matters of fact existing and known to us on the date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20"/>
              </w:rPr>
            </w:pPr>
            <w:r>
              <w:rPr>
                <w:sz w:val="20"/>
              </w:rPr>
              <w:t>(c)</w:t>
            </w:r>
          </w:p>
        </w:tc>
        <w:tc>
          <w:tcPr>
            <w:tcW w:w="9992" w:type="dxa"/>
            <w:tcBorders/>
            <w:vAlign w:val="center"/>
          </w:tcPr>
          <w:p>
            <w:pPr>
              <w:pStyle w:val="TableContents"/>
              <w:bidi w:val="0"/>
              <w:spacing w:before="0" w:after="283"/>
              <w:jc w:val="both"/>
              <w:rPr>
                <w:sz w:val="20"/>
              </w:rPr>
            </w:pPr>
            <w:r>
              <w:rPr>
                <w:sz w:val="20"/>
              </w:rPr>
              <w:t>This Opinion is, insofar as it relates to the validity, effectiveness and enforceability , subject to (i) any applicable bankruptcy, insolvency, fraudulent transfer, reorganization, moratorium or similar laws affecting creditors’ rights generally; (ii) possible judicial or administrative actions or any laws affecting creditors’ rights generally; (iii) certain equitable, legal or statutory principles affecting the validity and enforceability of contractual rights generally under concepts of public interest, state interest, national security, reasonableness, good faith and fair dealing, and applicable statutes of limitation; (iv) any circumstance in connection with formulation, execution or implementation of any legal documents that would be deemed materially mistaken, clearly unconscionable, unlawful, fraudulent or coercionary at the conclusions thereof; and (v) judicial discretion with respect to the availability of indemnifications, remedies or defenses, the calculation of damages, the entitlement to attorney’s fees and other costs, the waiver of immunity from jurisdiction of any court or from legal process.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20"/>
              </w:rPr>
            </w:pPr>
            <w:r>
              <w:rPr>
                <w:sz w:val="20"/>
              </w:rPr>
              <w:t>(d)</w:t>
            </w:r>
          </w:p>
        </w:tc>
        <w:tc>
          <w:tcPr>
            <w:tcW w:w="9957" w:type="dxa"/>
            <w:tcBorders/>
            <w:vAlign w:val="center"/>
          </w:tcPr>
          <w:p>
            <w:pPr>
              <w:pStyle w:val="TableContents"/>
              <w:bidi w:val="0"/>
              <w:spacing w:before="0" w:after="283"/>
              <w:jc w:val="both"/>
              <w:rPr>
                <w:sz w:val="20"/>
              </w:rPr>
            </w:pPr>
            <w:r>
              <w:rPr>
                <w:sz w:val="20"/>
              </w:rPr>
              <w:t>This Opinion is subject to the discretion of any competent PRC legislative, administrative, judicial bodies or Governmental Authorities in exercising their authority in the PRC in connection with the interpretation, implementation and application of relevant PRC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intended to be used in the context which is specifically referred to herein, and each paragraph should be considered at as a whole and no part should be extracted and referred to independently. Except as expressly provided herein, it may not, without our prior written permission, be relied upon by any person other than the addressees hereof, or used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in, and the filing hereof as an exhibit to a Report of Foreign Private Issuer on Form 6-K that is incorporated by reference into the Registration Statement on Form F-3 (File No. 333-292185), and further consent to the reference of our name under the sections of Prospectus Supplement entitled “Enforceability of Civil Liabilities”, “Taxation” and “Legal Matters” in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of PRC Legal Opinions Issued by Global Law Office]</w:t>
      </w:r>
    </w:p>
    <w:p>
      <w:pPr>
        <w:pStyle w:val="TextBody"/>
        <w:bidi w:val="0"/>
        <w:spacing w:before="0" w:after="0"/>
        <w:ind w:left="0" w:right="0" w:hanging="0"/>
        <w:jc w:val="left"/>
        <w:rPr>
          <w:caps w:val="false"/>
          <w:smallCaps w:val="false"/>
        </w:rPr>
      </w:pPr>
      <w:r>
        <w:rPr>
          <w:caps w:val="false"/>
          <w:smallCaps w:val="false"/>
        </w:rPr>
        <w:t> </w:t>
      </w:r>
    </w:p>
    <w:tbl>
      <w:tblPr>
        <w:tblW w:w="1670" w:type="dxa"/>
        <w:jc w:val="left"/>
        <w:tblInd w:w="0" w:type="dxa"/>
        <w:tblLayout w:type="fixed"/>
        <w:tblCellMar>
          <w:top w:w="0" w:type="dxa"/>
          <w:left w:w="0" w:type="dxa"/>
          <w:bottom w:w="0" w:type="dxa"/>
          <w:right w:w="0" w:type="dxa"/>
        </w:tblCellMar>
      </w:tblPr>
      <w:tblGrid>
        <w:gridCol w:w="1595"/>
        <w:gridCol w:w="75"/>
      </w:tblGrid>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Sincerely,</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Law Office</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Law Office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37183</Words>
  <Characters>197881</Characters>
  <CharactersWithSpaces>235536</CharactersWithSpaces>
  <Paragraphs>1504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