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962d1_6k.htm"/>
      <w:bookmarkStart w:id="1" w:name="kstm262296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20549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001-42209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YXT.COM GROUP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Room 501-502, No. 78 East Jinshan Road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Huqiu District, Suzhou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Jiangsu, 215011,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 (512) 6689 9881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28" w:type="dxa"/>
          <w:right w:w="0" w:type="dxa"/>
        </w:tblCellMar>
      </w:tblPr>
      <w:tblGrid>
        <w:gridCol w:w="1205"/>
        <w:gridCol w:w="60"/>
        <w:gridCol w:w="1205"/>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62296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1205" w:type="dxa"/>
            <w:tcBorders/>
            <w:tcMar>
              <w:bottom w:w="0" w:type="dxa"/>
            </w:tcMar>
            <w:vAlign w:val="center"/>
          </w:tcPr>
          <w:p>
            <w:pPr>
              <w:pStyle w:val="TableContents"/>
              <w:bidi w:val="0"/>
              <w:spacing w:before="0" w:after="283"/>
              <w:jc w:val="left"/>
              <w:rPr/>
            </w:pPr>
            <w:hyperlink w:anchor="tm2622962d1_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2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929" w:type="dxa"/>
        <w:jc w:val="left"/>
        <w:tblInd w:w="0" w:type="dxa"/>
        <w:tblLayout w:type="fixed"/>
        <w:tblCellMar>
          <w:top w:w="0" w:type="dxa"/>
          <w:left w:w="0" w:type="dxa"/>
          <w:bottom w:w="0" w:type="dxa"/>
          <w:right w:w="0" w:type="dxa"/>
        </w:tblCellMar>
      </w:tblPr>
      <w:tblGrid>
        <w:gridCol w:w="75"/>
        <w:gridCol w:w="604"/>
        <w:gridCol w:w="91"/>
        <w:gridCol w:w="2159"/>
      </w:tblGrid>
      <w:tr>
        <w:trPr/>
        <w:tc>
          <w:tcPr>
            <w:tcW w:w="75" w:type="dxa"/>
            <w:tcBorders/>
            <w:vAlign w:val="center"/>
          </w:tcPr>
          <w:p>
            <w:pPr>
              <w:pStyle w:val="TableContents"/>
              <w:bidi w:val="0"/>
              <w:spacing w:before="0" w:after="283"/>
              <w:ind w:left="0" w:right="0" w:hanging="200"/>
              <w:jc w:val="left"/>
              <w:rPr/>
            </w:pPr>
            <w:r>
              <w:rPr/>
              <w:t> </w:t>
            </w:r>
          </w:p>
        </w:tc>
        <w:tc>
          <w:tcPr>
            <w:tcW w:w="2854" w:type="dxa"/>
            <w:gridSpan w:val="3"/>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YXT.GROUP HOLDING LIMITED</w:t>
            </w:r>
          </w:p>
        </w:tc>
      </w:tr>
      <w:tr>
        <w:trPr/>
        <w:tc>
          <w:tcPr>
            <w:tcW w:w="75" w:type="dxa"/>
            <w:tcBorders/>
            <w:vAlign w:val="center"/>
          </w:tcPr>
          <w:p>
            <w:pPr>
              <w:pStyle w:val="TableContents"/>
              <w:bidi w:val="0"/>
              <w:spacing w:before="0" w:after="283"/>
              <w:jc w:val="left"/>
              <w:rPr/>
            </w:pPr>
            <w:r>
              <w:rPr/>
              <w:t> </w:t>
            </w:r>
          </w:p>
        </w:tc>
        <w:tc>
          <w:tcPr>
            <w:tcW w:w="2854" w:type="dxa"/>
            <w:gridSpan w:val="3"/>
            <w:tcBorders/>
            <w:vAlign w:val="center"/>
          </w:tcPr>
          <w:p>
            <w:pPr>
              <w:pStyle w:val="TableContents"/>
              <w:bidi w:val="0"/>
              <w:spacing w:before="0" w:after="283"/>
              <w:ind w:left="0" w:right="0" w:hanging="200"/>
              <w:jc w:val="left"/>
              <w:rPr/>
            </w:pPr>
            <w:r>
              <w:rPr/>
              <w:t> </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 xml:space="preserve">By </w:t>
            </w:r>
          </w:p>
        </w:tc>
        <w:tc>
          <w:tcPr>
            <w:tcW w:w="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59" w:type="dxa"/>
            <w:tcBorders>
              <w:bottom w:val="single" w:sz="8" w:space="0" w:color="000000"/>
            </w:tcBorders>
            <w:tcMar>
              <w:bottom w:w="28"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/s/ Shen Cao</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 xml:space="preserve">Name </w:t>
            </w:r>
          </w:p>
        </w:tc>
        <w:tc>
          <w:tcPr>
            <w:tcW w:w="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59"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Shen Cao</w:t>
            </w:r>
          </w:p>
        </w:tc>
      </w:tr>
      <w:tr>
        <w:trPr/>
        <w:tc>
          <w:tcPr>
            <w:tcW w:w="75" w:type="dxa"/>
            <w:tcBorders/>
            <w:vAlign w:val="center"/>
          </w:tcPr>
          <w:p>
            <w:pPr>
              <w:pStyle w:val="TableContents"/>
              <w:bidi w:val="0"/>
              <w:spacing w:before="0" w:after="283"/>
              <w:jc w:val="left"/>
              <w:rPr/>
            </w:pPr>
            <w:r>
              <w:rPr/>
              <w:t> </w:t>
            </w:r>
          </w:p>
        </w:tc>
        <w:tc>
          <w:tcPr>
            <w:tcW w:w="604" w:type="dxa"/>
            <w:tcBorders/>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Title</w:t>
            </w:r>
          </w:p>
        </w:tc>
        <w:tc>
          <w:tcPr>
            <w:tcW w:w="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xml:space="preserve">3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2962d1_ex99-1.htm"/>
      <w:bookmarkStart w:id="3" w:name="kstm2622962d1_ex991"/>
      <w:bookmarkEnd w:id="2"/>
      <w:bookmarkEnd w:id="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Reports Unaudited Financial Results for the First Six Months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SUZHOU, China, August 13, 2026 /GLOBE NEWSWIRE/ - YXT.com Group Holding Limited (NASDAQ: YXT) (“YXT.com” or the “Company”), a provider of AI-native enterprise productivity solutions, today announced its unaudited financial results for the first six months ended June 30, 2026, highlighting AI-native milestone and improved operating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 for the First Six Months of 2026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Total revenues </w:t>
            </w:r>
            <w:r>
              <w:rPr>
                <w:rFonts w:ascii="Times New Roman;Times;Serif" w:hAnsi="Times New Roman;Times;Serif"/>
                <w:sz w:val="20"/>
              </w:rPr>
              <w:t>were RMB162.1 million (US$23.9 million), compared with RMB152.9 million in the same period of last year, representing an increase of 6.0%.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Gross margin </w:t>
            </w:r>
            <w:r>
              <w:rPr>
                <w:rFonts w:ascii="Times New Roman;Times;Serif" w:hAnsi="Times New Roman;Times;Serif"/>
                <w:sz w:val="20"/>
              </w:rPr>
              <w:t>was 70.1% in the six months ended June 30, 2026, compared with 65.1% in the same period of last year, representing an increase of 5.0 percentage points.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Net loss</w:t>
            </w:r>
            <w:r>
              <w:rPr>
                <w:rFonts w:ascii="Times New Roman;Times;Serif" w:hAnsi="Times New Roman;Times;Serif"/>
                <w:sz w:val="20"/>
              </w:rPr>
              <w:t xml:space="preserve"> was RMB14.4 million (US$2.1 million), compared with RMB73.9 million in the same period of last year, representing a decrease of RMB59.5 million, or 80.5%. Adjusted net loss was RMB12.2 million (US$1.8 million), compared with RMB64.0 million in the same period of last year, representing a decrease of RMB51.8 million, or 80.9%.</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Number of subscription customers </w:t>
            </w:r>
            <w:r>
              <w:rPr>
                <w:rFonts w:ascii="Times New Roman;Times;Serif" w:hAnsi="Times New Roman;Times;Serif"/>
                <w:sz w:val="20"/>
              </w:rPr>
              <w:t xml:space="preserve">was 2,391 as of June 30, 2026, compared with 2,358 as of June 30, 2025. </w:t>
            </w:r>
            <w:r>
              <w:rPr>
                <w:rFonts w:ascii="Times New Roman;Times;Serif" w:hAnsi="Times New Roman;Times;Serif"/>
                <w:b/>
                <w:sz w:val="20"/>
              </w:rPr>
              <w:t xml:space="preserve">Net revenue retention rates (“NRR” 1) of subscription customers </w:t>
            </w:r>
            <w:r>
              <w:rPr>
                <w:rFonts w:ascii="Times New Roman;Times;Serif" w:hAnsi="Times New Roman;Times;Serif"/>
                <w:sz w:val="20"/>
              </w:rPr>
              <w:t>was 102.6%, compared with 100.3% in the same period of last year. The change reflects the Company’s strategic shift towards large enterprise accounts with consistent demand for corporate learning solutions and the launch of AI-products, leading to the increase of subscription customers and NRR.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Monthly Recurring Revenue (“MRR” </w:t>
            </w:r>
            <w:r>
              <w:rPr>
                <w:rFonts w:ascii="Times New Roman;Times;Serif" w:hAnsi="Times New Roman;Times;Serif"/>
                <w:b/>
                <w:position w:val="7"/>
                <w:sz w:val="16"/>
                <w:sz w:val="20"/>
              </w:rPr>
              <w:t>2</w:t>
            </w:r>
            <w:r>
              <w:rPr>
                <w:rFonts w:ascii="Times New Roman;Times;Serif" w:hAnsi="Times New Roman;Times;Serif"/>
                <w:b/>
                <w:sz w:val="20"/>
              </w:rPr>
              <w:t>) of AI-related product</w:t>
            </w:r>
            <w:r>
              <w:rPr>
                <w:rFonts w:ascii="Times New Roman;Times;Serif" w:hAnsi="Times New Roman;Times;Serif"/>
                <w:sz w:val="20"/>
              </w:rPr>
              <w:t xml:space="preserve"> was RMB4.4 million (US$0.7 million) as of June 30, 2026, compared with RMB0.5 million as of June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Peter Lu, Director, Founder and Chairman of the Board of YXT.com, commented, “The first half of 2026 marked an important milestone in YXT.com’s evolution into an AI-native enterprise. Our AI transformation has renewed growth momentum in our core corporate learning business, with newly signed customers increasing by nearly 50% year over year. AI-related products are also emerging as a new growth driver, with monthly recurring revenue reaching RMB4.4 million (US$0.7 million) as of June 30, 2026, compared with RMB0.5 million a year earlier. SaleSmart, our AI-powered sales intelligence solution, achieved sales of over RMB5 million (US$0.7 million) during the period. We will continue to deepen AI integration across learning, knowledge operations and sales intelligence to drive sustainable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Shen Cao, Chief Financial Officer of YXT.com, said, “In the first half of 2026, the impact of our AI transformation became increasingly visible, driving growth in revenue, gross margin, and customer base while significantly reducing net losses. AI-driven operational efficiencies also helped optimize our organizational structure and workflows, leading to meaningful reductions in staff costs. These improvements in revenue growth and cost efficiency have strengthened our financial foundation and brought us closer to achieving key financial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NRR is calculated by specifying a measurement period consisting of the trailing twenty-four months from the given period end, and using (i) the total subscription revenue for the first twelve months of the measurement period from the group of customers as of the end of the first twelve months as the denominator, and (ii) the total subscription revenue for the second twelve months of the measurement period from the same group of customers as the numerator.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MRR is calculated based on the total contract value divided by the total number of months of the agreement based on the start and end dates of each contracted line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 / 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First Six Months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RMB162.1 million (US$23.9 million), compared with RMB152.9 million in the same period of last year, representing an increase of 6.0%.</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Revenues from corporate learning solutions</w:t>
            </w:r>
            <w:r>
              <w:rPr>
                <w:rFonts w:ascii="Times New Roman;Times;Serif" w:hAnsi="Times New Roman;Times;Serif"/>
                <w:sz w:val="20"/>
              </w:rPr>
              <w:t xml:space="preserve"> were RMB158.2 million (US$23.3 million), compared with RMB152.4 million in the same period of last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3" w:type="dxa"/>
            <w:tcBorders/>
            <w:vAlign w:val="center"/>
          </w:tcPr>
          <w:p>
            <w:pPr>
              <w:pStyle w:val="TableContents"/>
              <w:bidi w:val="0"/>
              <w:spacing w:before="0" w:after="283"/>
              <w:jc w:val="both"/>
              <w:rPr>
                <w:sz w:val="20"/>
              </w:rPr>
            </w:pPr>
            <w:r>
              <w:rPr>
                <w:i/>
                <w:sz w:val="20"/>
              </w:rPr>
              <w:t xml:space="preserve">Revenues from subscription based corporate learning solutions </w:t>
            </w:r>
            <w:r>
              <w:rPr>
                <w:sz w:val="20"/>
              </w:rPr>
              <w:t>were RMB151.8 million (US$22.4 million), compared with RMB144.7 million in the same period of last year. The change was primarily due to our business expansion strategy to focus on large enterprises with strong and steady demand for corporate learning solutions and the launch of AI-related products, leading to the increase of revenues.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20"/>
              </w:rPr>
            </w:pPr>
            <w:r>
              <w:rPr>
                <w:sz w:val="20"/>
              </w:rPr>
              <w:t>o</w:t>
            </w:r>
          </w:p>
        </w:tc>
        <w:tc>
          <w:tcPr>
            <w:tcW w:w="10043" w:type="dxa"/>
            <w:tcBorders/>
            <w:vAlign w:val="center"/>
          </w:tcPr>
          <w:p>
            <w:pPr>
              <w:pStyle w:val="TableContents"/>
              <w:bidi w:val="0"/>
              <w:spacing w:before="0" w:after="283"/>
              <w:jc w:val="both"/>
              <w:rPr>
                <w:sz w:val="20"/>
              </w:rPr>
            </w:pPr>
            <w:r>
              <w:rPr>
                <w:i/>
                <w:sz w:val="20"/>
              </w:rPr>
              <w:t xml:space="preserve">Revenues from non-subscription based corporate learning solutions </w:t>
            </w:r>
            <w:r>
              <w:rPr>
                <w:sz w:val="20"/>
              </w:rPr>
              <w:t>were RMB6.4 million (US$0.9 million), compared with RMB7.7 million in the same period of last year. The change was primarily due to reduced offline solutions reflecting the Company’s strategic emphasis on subscription-based, digitized corporate learning solutions.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Revenues from others</w:t>
            </w:r>
            <w:r>
              <w:rPr>
                <w:rFonts w:ascii="Times New Roman;Times;Serif" w:hAnsi="Times New Roman;Times;Serif"/>
                <w:sz w:val="20"/>
              </w:rPr>
              <w:t xml:space="preserve"> were RMB3.9 million (US$0.6 million), compared with RMB0.5 million in the same period of last year. A few customized software projects completed in the six months ended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was RMB48.5 million (US$7.2 million), compared with RMB53.4 million in the same period of last year, representing a decrease of 9.1%. This was mainly due to (i) raise in productivity in the Company’s operation leveraging AI tools; (ii) decreased staff expenses through operational optimization; and partially offset by the increase of amortization of online course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70.1%, compared with 65.1% in the same period of last year, representing an increase of 5.0 percentage points. This was mainly driven by the Company's continual focus on large enterprise subscription customers, higher-marginal-contribution solutions and ongoing cost optimization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were RMB60.1 million (US$8.9 million), compared with RMB61.9 million in the same period of last year, representing a decrease of 3.0%. This was mainly due to decreases in compensation paid to sales and marketing staff due to the Company’s efforts in better relocating its human resources, which was also resulted from the raise in productivity in acquiring, converting and retaining customers and realizing revenues aided by AI tools and the Company’s branding campaign; and partially offset by the increase of marketing expenses for the promotion activities, especially for the AI-related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RMB53.0 million (US$7.8 million), compared with RMB48.3 million in the same period of last year, representing an increase of 9.8%. This was mainly due to increases in compensation paid to research and development staff for the increase of R&amp;D staff for the research of development of AI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RMB11.9 million (US$1.8 million), compared with RMB54.2 million in the same period of last year, representing a decrease of 78.0%. This was mainly due to (i) the decrease of professional service fees and reversal of litigation accruals; and (ii) the decrease of share-based compensation to general and administrative staff because part of the share incentive plan was completed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and adjusted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RMB14.4 million (US$2.1 million), compared with RMB73.9 million in the same period of last year. Adjusted net loss was RMB12.2 million (US$1.8 million), compared with RMB64.0 million in the same period of last year, representing a decrease of 80.9%.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 / 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was RMB0.08 (US$0.01), compared with basic and diluted net loss per share of RMB0.41 in the same period of last year. The change in basic and diluted net loss per share was primarily attributable to the decrease of the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and short-term investment of RMB31.4 million (US$4.6 million), compared with RMB134.7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team will hold a conference call at 7:30 A.M. U.S. Eastern Time on Thursday, August 13, 2026 (or 7:30 P.M. Beijing Time on Thursday, August 13, 2026) to discuss the financial results. Details for the conference call are as follows:</w:t>
      </w:r>
    </w:p>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1535"/>
        <w:gridCol w:w="7085"/>
      </w:tblGrid>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Title:</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First Six Months of 2026 Earnings Conference Call</w:t>
            </w:r>
          </w:p>
        </w:tc>
      </w:tr>
      <w:tr>
        <w:trPr/>
        <w:tc>
          <w:tcPr>
            <w:tcW w:w="1535" w:type="dxa"/>
            <w:tcBorders/>
            <w:vAlign w:val="center"/>
          </w:tcPr>
          <w:p>
            <w:pPr>
              <w:pStyle w:val="TableContents"/>
              <w:bidi w:val="0"/>
              <w:spacing w:before="0" w:after="283"/>
              <w:jc w:val="left"/>
              <w:rPr>
                <w:caps w:val="false"/>
                <w:smallCaps w:val="false"/>
              </w:rPr>
            </w:pPr>
            <w:r>
              <w:rPr>
                <w:caps w:val="false"/>
                <w:smallCaps w:val="false"/>
              </w:rPr>
              <w:t> </w:t>
            </w:r>
          </w:p>
        </w:tc>
        <w:tc>
          <w:tcPr>
            <w:tcW w:w="708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Link:</w:t>
            </w:r>
          </w:p>
        </w:tc>
        <w:tc>
          <w:tcPr>
            <w:tcW w:w="7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https://register-conf.media-server.com/register/BIa675e2435f6e4af483eac1c5ff55d952</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participants must use the link provided above to complete the online registration process in advance of the conference call. Upon registering, each participant will receive a set of participant dial-in numbers and a unique access PIN, which can be used to join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and archived webcast of the conference call will be available at the Company's investor relations website at </w:t>
      </w:r>
      <w:r>
        <w:rPr>
          <w:rFonts w:ascii="Times New Roman;Times;Serif" w:hAnsi="Times New Roman;Times;Serif"/>
          <w:b w:val="false"/>
          <w:i w:val="false"/>
          <w:caps w:val="false"/>
          <w:smallCaps w:val="false"/>
          <w:sz w:val="20"/>
          <w:u w:val="single"/>
        </w:rPr>
        <w:t>https://ir.yxt.com/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our business, we consider and use adjusted net loss as a supplemental non-GAAP measure to review and assess our operating performance. Adjusted net loss is net loss excluding share-based compensation, to the extent applicable. The presentation of the non-GAAP financial measure is not intended to be considered in isolation or as a substitute for the financial information prepared and presented in accordance with U.S. GAAP. We present the non-GAAP financial measure because it is used by our management to evaluate our operating performance and formulate business plans. We also believe that the use of the non-GAAP measure facilitates investors’ assessment of our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non-GAAP financial measure is not defined under U.S. GAAP and is not presented in accordance with U.S. GAAP. The non-GAAP financial measure has limitations as analytical tools. One of the key limitations of using the non-GAAP financial measure is that it does not reflect all items of income and expense that affect our operations. Further, the non-GAAP measure may differ from the non-GAAP information used by other companies, including peer companies, and therefore its comparability may be limited. We compensate for these limitations by reconciling the non-GAAP financial measure to the nearest U.S. GAAP performance measure, which should be considered when evaluating our performance. We encourage you to review our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translations of certain Renminbi (“RMB”) amounts into U.S. dollars (“US$”) at specified rates solely for the convenience of the reader. Unless otherwise stated, all translations from Renminbi to U.S. dollars were made at the rate of RMB6.7851 to US$1.00, the exchange rate on June 30, 2026, set forth in the H.10 statistical release of the Federal Reserve Board. The Company makes no representation that the Renminbi or U.S. dollars amounts referred to could be converted into U.S. dollars or Renminbi, as the case may be, at any particular rate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 / 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YXT.com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 (NASDAQ: YXT) is a technology company focusing on enterprise productivity solutions. With a mission to "Empower people and organization development through technology," the Company strives to become the supreme provider in building and boosting enterprise productivity by combining over a decade of experience in tech-enabled talent learning and development and with AI-augmented task copilots and unleashing the power of knowledge and synergy. Since its inception, YXT.com has supported and received recognition from numerous Global and China Fortune 500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YXT.com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IR@radnova.com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Serena Huang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Octans Capital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yxt.ir@octanscap.com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+86-10-6580-0653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 / 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6319" w:type="dxa"/>
        <w:jc w:val="left"/>
        <w:tblInd w:w="0" w:type="dxa"/>
        <w:tblLayout w:type="fixed"/>
        <w:tblCellMar>
          <w:top w:w="0" w:type="dxa"/>
          <w:left w:w="0" w:type="dxa"/>
          <w:bottom w:w="0" w:type="dxa"/>
          <w:right w:w="0" w:type="dxa"/>
        </w:tblCellMar>
      </w:tblPr>
      <w:tblGrid>
        <w:gridCol w:w="3365"/>
        <w:gridCol w:w="60"/>
        <w:gridCol w:w="92"/>
        <w:gridCol w:w="1082"/>
        <w:gridCol w:w="60"/>
        <w:gridCol w:w="60"/>
        <w:gridCol w:w="60"/>
        <w:gridCol w:w="695"/>
        <w:gridCol w:w="60"/>
        <w:gridCol w:w="60"/>
        <w:gridCol w:w="60"/>
        <w:gridCol w:w="590"/>
        <w:gridCol w:w="75"/>
      </w:tblGrid>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As of </w:t>
              <w:b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As of </w:t>
              <w:br/>
              <w:t>June 30,</w:t>
            </w:r>
          </w:p>
        </w:tc>
        <w:tc>
          <w:tcPr>
            <w:tcW w:w="75"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174"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gridSpan w:val="2"/>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178,974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89,249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13,153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equipment and software,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14,854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328,075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312,669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507,049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401,918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59,234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a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consideration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 and accrued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361,892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271,755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08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70,517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67,856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432,409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339,611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50,051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 / 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JUNE 30,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45"/>
        <w:gridCol w:w="60"/>
        <w:gridCol w:w="70"/>
        <w:gridCol w:w="1073"/>
        <w:gridCol w:w="80"/>
        <w:gridCol w:w="60"/>
        <w:gridCol w:w="60"/>
        <w:gridCol w:w="905"/>
        <w:gridCol w:w="80"/>
        <w:gridCol w:w="60"/>
        <w:gridCol w:w="60"/>
        <w:gridCol w:w="755"/>
        <w:gridCol w:w="97"/>
      </w:tblGrid>
      <w:tr>
        <w:trPr/>
        <w:tc>
          <w:tcPr>
            <w:tcW w:w="6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June 30,</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07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(US$0.0001 par value; 483,068,176 Class A shares authorized, 171,596,634 shares issued, 161,525,163 and 161,876,157 shares outstanding as of December 31, 2025 and June 30, 2026,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(US$0.0001 par value; 16,931,824 shares authorized, issued and outstanding as of December 31, 2025 and June 30,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 (1,769,610 shares as of December 31, 2025 and June 30,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3,501,859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3,504,049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516,433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(3,446,480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(3,460,901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(510,074</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4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74,640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62,307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9,183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4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507,049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401,918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59,234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 / 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800"/>
        <w:gridCol w:w="60"/>
        <w:gridCol w:w="70"/>
        <w:gridCol w:w="817"/>
        <w:gridCol w:w="94"/>
        <w:gridCol w:w="70"/>
        <w:gridCol w:w="70"/>
        <w:gridCol w:w="817"/>
        <w:gridCol w:w="94"/>
        <w:gridCol w:w="70"/>
        <w:gridCol w:w="70"/>
        <w:gridCol w:w="693"/>
        <w:gridCol w:w="95"/>
      </w:tblGrid>
      <w:tr>
        <w:trPr/>
        <w:tc>
          <w:tcPr>
            <w:tcW w:w="6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8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887"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76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learning solutions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152,417</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158,155</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3,974</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152,894</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162,129</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23,895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(53,380</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(48,513</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(61,932</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(60,096</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(48,277</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(53,009</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(54,219</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(11,928</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3,461</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(64,449</w:t>
            </w:r>
          </w:p>
        </w:tc>
        <w:tc>
          <w:tcPr>
            <w:tcW w:w="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(7,956</w:t>
            </w:r>
          </w:p>
        </w:tc>
        <w:tc>
          <w:tcPr>
            <w:tcW w:w="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1,495</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(4,186</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(2,718</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of available-for-sale debt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(7,417</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(4,731</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 expense and share of results of an equity method investee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(73,878</w:t>
            </w:r>
          </w:p>
        </w:tc>
        <w:tc>
          <w:tcPr>
            <w:tcW w:w="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(14,291</w:t>
            </w:r>
          </w:p>
        </w:tc>
        <w:tc>
          <w:tcPr>
            <w:tcW w:w="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80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results of an equity method investee,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(73,878</w:t>
            </w:r>
          </w:p>
        </w:tc>
        <w:tc>
          <w:tcPr>
            <w:tcW w:w="9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(14,421</w:t>
            </w:r>
          </w:p>
        </w:tc>
        <w:tc>
          <w:tcPr>
            <w:tcW w:w="9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80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6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800"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YXT.COM Group Holding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(73,878</w:t>
            </w:r>
          </w:p>
        </w:tc>
        <w:tc>
          <w:tcPr>
            <w:tcW w:w="9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(14,421</w:t>
            </w:r>
          </w:p>
        </w:tc>
        <w:tc>
          <w:tcPr>
            <w:tcW w:w="9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 / 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25"/>
        <w:gridCol w:w="60"/>
        <w:gridCol w:w="60"/>
        <w:gridCol w:w="1055"/>
        <w:gridCol w:w="80"/>
        <w:gridCol w:w="60"/>
        <w:gridCol w:w="60"/>
        <w:gridCol w:w="1055"/>
        <w:gridCol w:w="80"/>
        <w:gridCol w:w="60"/>
        <w:gridCol w:w="60"/>
        <w:gridCol w:w="1055"/>
        <w:gridCol w:w="95"/>
      </w:tblGrid>
      <w:tr>
        <w:trPr/>
        <w:tc>
          <w:tcPr>
            <w:tcW w:w="6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YXT.COM Group Holding Limited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(73,878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(14,421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4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(73,878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(14,421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both"/>
              <w:rPr>
                <w:sz w:val="20"/>
              </w:rPr>
            </w:pPr>
            <w:r>
              <w:rPr>
                <w:sz w:val="20"/>
              </w:rPr>
              <w:t>Foreign currency translation adjustment,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both"/>
              <w:rPr>
                <w:sz w:val="20"/>
              </w:rPr>
            </w:pPr>
            <w:r>
              <w:rPr>
                <w:sz w:val="20"/>
              </w:rPr>
              <w:t>Unrealized (loss)/gain on investments in available-for-sale debt securities,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(74,676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(14,523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4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loss attributable to YXT.COM Group Holding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(74,676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(14,523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(2,141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42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YXT.COM Group Holding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(73,878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(14,421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425" w:type="dxa"/>
            <w:tcBorders/>
            <w:shd w:fill="CCEEFF" w:val="clear"/>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Weighted average number of ordinary shares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179,881,274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181,522,624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181,522,624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both"/>
              <w:rPr/>
            </w:pPr>
            <w:r>
              <w:rPr/>
              <w:t>—</w:t>
            </w:r>
            <w:r>
              <w:rPr>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 / 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9266" w:type="dxa"/>
        <w:jc w:val="left"/>
        <w:tblInd w:w="0" w:type="dxa"/>
        <w:tblLayout w:type="fixed"/>
        <w:tblCellMar>
          <w:top w:w="0" w:type="dxa"/>
          <w:left w:w="0" w:type="dxa"/>
          <w:bottom w:w="0" w:type="dxa"/>
          <w:right w:w="0" w:type="dxa"/>
        </w:tblCellMar>
      </w:tblPr>
      <w:tblGrid>
        <w:gridCol w:w="6245"/>
        <w:gridCol w:w="60"/>
        <w:gridCol w:w="67"/>
        <w:gridCol w:w="846"/>
        <w:gridCol w:w="89"/>
        <w:gridCol w:w="67"/>
        <w:gridCol w:w="67"/>
        <w:gridCol w:w="779"/>
        <w:gridCol w:w="89"/>
        <w:gridCol w:w="67"/>
        <w:gridCol w:w="67"/>
        <w:gridCol w:w="728"/>
        <w:gridCol w:w="95"/>
      </w:tblGrid>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179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9"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79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(94,868</w:t>
            </w:r>
          </w:p>
        </w:tc>
        <w:tc>
          <w:tcPr>
            <w:tcW w:w="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(34,901</w:t>
            </w:r>
          </w:p>
        </w:tc>
        <w:tc>
          <w:tcPr>
            <w:tcW w:w="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(5,144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4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in/(generated from)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(94,720</w:t>
            </w:r>
          </w:p>
        </w:tc>
        <w:tc>
          <w:tcPr>
            <w:tcW w:w="8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9,934</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(85,718</w:t>
            </w:r>
          </w:p>
        </w:tc>
        <w:tc>
          <w:tcPr>
            <w:tcW w:w="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(56,584</w:t>
            </w:r>
          </w:p>
        </w:tc>
        <w:tc>
          <w:tcPr>
            <w:tcW w:w="8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(8,339</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(275,652</w:t>
            </w:r>
          </w:p>
        </w:tc>
        <w:tc>
          <w:tcPr>
            <w:tcW w:w="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(83,573</w:t>
            </w:r>
          </w:p>
        </w:tc>
        <w:tc>
          <w:tcPr>
            <w:tcW w:w="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418,242</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114,998</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142,590</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31,425</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 / 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YXT.COM GROUP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 OF GAAP AND NON-GAAP RESULTS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 AND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for share and per share data, unless otherwise noted)</w:t>
      </w:r>
    </w:p>
    <w:p>
      <w:pPr>
        <w:pStyle w:val="TextBody"/>
        <w:bidi w:val="0"/>
        <w:spacing w:before="0" w:after="0"/>
        <w:ind w:left="0" w:right="0" w:hanging="0"/>
        <w:jc w:val="left"/>
        <w:rPr>
          <w:caps w:val="false"/>
          <w:smallCaps w:val="false"/>
        </w:rPr>
      </w:pPr>
      <w:r>
        <w:rPr>
          <w:caps w:val="false"/>
          <w:smallCaps w:val="false"/>
        </w:rPr>
        <w:t> </w:t>
      </w:r>
    </w:p>
    <w:tbl>
      <w:tblPr>
        <w:tblW w:w="5814" w:type="dxa"/>
        <w:jc w:val="left"/>
        <w:tblInd w:w="0" w:type="dxa"/>
        <w:tblLayout w:type="fixed"/>
        <w:tblCellMar>
          <w:top w:w="0" w:type="dxa"/>
          <w:left w:w="0" w:type="dxa"/>
          <w:bottom w:w="0" w:type="dxa"/>
          <w:right w:w="0" w:type="dxa"/>
        </w:tblCellMar>
      </w:tblPr>
      <w:tblGrid>
        <w:gridCol w:w="2795"/>
        <w:gridCol w:w="60"/>
        <w:gridCol w:w="74"/>
        <w:gridCol w:w="809"/>
        <w:gridCol w:w="99"/>
        <w:gridCol w:w="74"/>
        <w:gridCol w:w="74"/>
        <w:gridCol w:w="809"/>
        <w:gridCol w:w="99"/>
        <w:gridCol w:w="74"/>
        <w:gridCol w:w="74"/>
        <w:gridCol w:w="678"/>
        <w:gridCol w:w="95"/>
      </w:tblGrid>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6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180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883"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52"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(73,878</w:t>
            </w:r>
          </w:p>
        </w:tc>
        <w:tc>
          <w:tcPr>
            <w:tcW w:w="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(14,421</w:t>
            </w:r>
          </w:p>
        </w:tc>
        <w:tc>
          <w:tcPr>
            <w:tcW w:w="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7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9,873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(64,005</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(12,231</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95" w:type="dxa"/>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(64,005</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(12,231</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 / 10</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3141</Words>
  <Characters>17254</Characters>
  <CharactersWithSpaces>20937</CharactersWithSpaces>
  <Paragraphs>1656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